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0F321" w14:textId="77777777" w:rsidR="000B5612" w:rsidRDefault="000B5612" w:rsidP="000B5612">
      <w:pPr>
        <w:pStyle w:val="WJS-c-Authorsname"/>
        <w:spacing w:after="0"/>
        <w:jc w:val="center"/>
        <w:rPr>
          <w:rFonts w:ascii="Times New Roman" w:hAnsi="Times New Roman" w:cs="Times New Roman"/>
          <w:sz w:val="30"/>
          <w:szCs w:val="30"/>
        </w:rPr>
      </w:pPr>
    </w:p>
    <w:p w14:paraId="76266084" w14:textId="57DB1118" w:rsidR="0002171C" w:rsidRDefault="004B0820" w:rsidP="0002171C">
      <w:pPr>
        <w:pStyle w:val="WJS-c-Authorsname"/>
        <w:spacing w:after="0"/>
        <w:jc w:val="center"/>
        <w:rPr>
          <w:rFonts w:ascii="Times New Roman" w:hAnsi="Times New Roman" w:cs="Times New Roman"/>
          <w:sz w:val="30"/>
          <w:szCs w:val="30"/>
        </w:rPr>
      </w:pPr>
      <w:bookmarkStart w:id="0" w:name="_Hlk219541237"/>
      <w:r>
        <w:rPr>
          <w:rFonts w:ascii="Times New Roman" w:hAnsi="Times New Roman" w:cs="Times New Roman"/>
          <w:sz w:val="30"/>
          <w:szCs w:val="30"/>
        </w:rPr>
        <w:t>Effect of Gold Standard PBL Model on Solving Linear Equation in One Variable</w:t>
      </w:r>
    </w:p>
    <w:bookmarkEnd w:id="0"/>
    <w:p w14:paraId="55E19B26" w14:textId="77777777" w:rsidR="00EC4F63" w:rsidRPr="00203004" w:rsidRDefault="00EC4F63" w:rsidP="00203004">
      <w:pPr>
        <w:pStyle w:val="WJS-d-Affiliations"/>
      </w:pPr>
    </w:p>
    <w:p w14:paraId="2EEBB458" w14:textId="77777777" w:rsidR="00C22B5C" w:rsidRPr="000C109E" w:rsidRDefault="00C22B5C" w:rsidP="0056197A">
      <w:pPr>
        <w:pStyle w:val="WJS-d-Affiliations"/>
        <w:jc w:val="center"/>
        <w:rPr>
          <w:rFonts w:ascii="Times New Roman" w:hAnsi="Times New Roman" w:cs="Times New Roman"/>
          <w:b/>
          <w:bCs/>
          <w:i w:val="0"/>
          <w:sz w:val="22"/>
        </w:rPr>
      </w:pPr>
      <w:r w:rsidRPr="000C109E">
        <w:rPr>
          <w:rFonts w:ascii="Times New Roman" w:hAnsi="Times New Roman" w:cs="Times New Roman"/>
          <w:b/>
          <w:bCs/>
          <w:i w:val="0"/>
          <w:sz w:val="22"/>
        </w:rPr>
        <w:t xml:space="preserve">Ms. </w:t>
      </w:r>
      <w:r w:rsidR="004B0820" w:rsidRPr="000C109E">
        <w:rPr>
          <w:rFonts w:ascii="Times New Roman" w:hAnsi="Times New Roman" w:cs="Times New Roman"/>
          <w:b/>
          <w:bCs/>
          <w:i w:val="0"/>
          <w:sz w:val="22"/>
        </w:rPr>
        <w:t xml:space="preserve">Lenny Joy Saan </w:t>
      </w:r>
      <w:r w:rsidR="004B0820" w:rsidRPr="000C109E">
        <w:rPr>
          <w:rFonts w:ascii="Times New Roman" w:hAnsi="Times New Roman" w:cs="Times New Roman"/>
          <w:b/>
          <w:bCs/>
          <w:i w:val="0"/>
          <w:sz w:val="22"/>
          <w:vertAlign w:val="superscript"/>
        </w:rPr>
        <w:t>1</w:t>
      </w:r>
      <w:r w:rsidR="004B0820" w:rsidRPr="000C109E">
        <w:rPr>
          <w:rFonts w:ascii="Times New Roman" w:hAnsi="Times New Roman" w:cs="Times New Roman"/>
          <w:b/>
          <w:bCs/>
          <w:i w:val="0"/>
          <w:sz w:val="22"/>
        </w:rPr>
        <w:t xml:space="preserve">, </w:t>
      </w:r>
      <w:r w:rsidRPr="000C109E">
        <w:rPr>
          <w:rFonts w:ascii="Times New Roman" w:hAnsi="Times New Roman" w:cs="Times New Roman"/>
          <w:b/>
          <w:bCs/>
          <w:i w:val="0"/>
          <w:sz w:val="22"/>
        </w:rPr>
        <w:t xml:space="preserve">Dr. </w:t>
      </w:r>
      <w:r w:rsidR="004B0820" w:rsidRPr="000C109E">
        <w:rPr>
          <w:rFonts w:ascii="Times New Roman" w:hAnsi="Times New Roman" w:cs="Times New Roman"/>
          <w:b/>
          <w:bCs/>
          <w:i w:val="0"/>
          <w:sz w:val="22"/>
        </w:rPr>
        <w:t xml:space="preserve">Roulette </w:t>
      </w:r>
      <w:proofErr w:type="spellStart"/>
      <w:r w:rsidR="004B0820" w:rsidRPr="000C109E">
        <w:rPr>
          <w:rFonts w:ascii="Times New Roman" w:hAnsi="Times New Roman" w:cs="Times New Roman"/>
          <w:b/>
          <w:bCs/>
          <w:i w:val="0"/>
          <w:sz w:val="22"/>
        </w:rPr>
        <w:t>Cordevilla</w:t>
      </w:r>
      <w:proofErr w:type="spellEnd"/>
      <w:r w:rsidR="004B0820" w:rsidRPr="000C109E">
        <w:rPr>
          <w:rFonts w:ascii="Times New Roman" w:hAnsi="Times New Roman" w:cs="Times New Roman"/>
          <w:b/>
          <w:bCs/>
          <w:i w:val="0"/>
          <w:sz w:val="22"/>
        </w:rPr>
        <w:t xml:space="preserve"> </w:t>
      </w:r>
      <w:r w:rsidR="004B0820" w:rsidRPr="000C109E">
        <w:rPr>
          <w:rFonts w:ascii="Times New Roman" w:hAnsi="Times New Roman" w:cs="Times New Roman"/>
          <w:b/>
          <w:bCs/>
          <w:i w:val="0"/>
          <w:sz w:val="22"/>
          <w:vertAlign w:val="superscript"/>
        </w:rPr>
        <w:t>2</w:t>
      </w:r>
    </w:p>
    <w:p w14:paraId="377BAF02" w14:textId="427C2030" w:rsidR="00B75506" w:rsidRPr="000C109E" w:rsidRDefault="00C22B5C" w:rsidP="0056197A">
      <w:pPr>
        <w:pStyle w:val="WJS-d-Affiliations"/>
        <w:jc w:val="center"/>
        <w:rPr>
          <w:rFonts w:ascii="Times New Roman" w:hAnsi="Times New Roman" w:cs="Times New Roman"/>
          <w:b/>
          <w:bCs/>
          <w:i w:val="0"/>
          <w:sz w:val="22"/>
        </w:rPr>
      </w:pPr>
      <w:r w:rsidRPr="000C109E">
        <w:rPr>
          <w:rFonts w:ascii="Times New Roman" w:hAnsi="Times New Roman" w:cs="Times New Roman"/>
          <w:b/>
          <w:bCs/>
          <w:i w:val="0"/>
          <w:sz w:val="22"/>
        </w:rPr>
        <w:t xml:space="preserve">Asst. Prof. </w:t>
      </w:r>
      <w:r w:rsidR="004B0820" w:rsidRPr="000C109E">
        <w:rPr>
          <w:rFonts w:ascii="Times New Roman" w:hAnsi="Times New Roman" w:cs="Times New Roman"/>
          <w:b/>
          <w:bCs/>
          <w:i w:val="0"/>
          <w:sz w:val="22"/>
        </w:rPr>
        <w:t>Ethel D. Nabor</w:t>
      </w:r>
      <w:r w:rsidR="0002171C" w:rsidRPr="000C109E">
        <w:rPr>
          <w:rFonts w:ascii="Times New Roman" w:hAnsi="Times New Roman" w:cs="Times New Roman"/>
          <w:b/>
          <w:bCs/>
          <w:i w:val="0"/>
          <w:sz w:val="22"/>
        </w:rPr>
        <w:t xml:space="preserve"> </w:t>
      </w:r>
      <w:r w:rsidR="004B0820" w:rsidRPr="000C109E">
        <w:rPr>
          <w:rFonts w:ascii="Times New Roman" w:hAnsi="Times New Roman" w:cs="Times New Roman"/>
          <w:b/>
          <w:bCs/>
          <w:i w:val="0"/>
          <w:sz w:val="22"/>
          <w:vertAlign w:val="superscript"/>
        </w:rPr>
        <w:t>3</w:t>
      </w:r>
      <w:r w:rsidR="00B75506" w:rsidRPr="000C109E">
        <w:rPr>
          <w:rFonts w:ascii="Times New Roman" w:hAnsi="Times New Roman" w:cs="Times New Roman"/>
          <w:b/>
          <w:bCs/>
          <w:i w:val="0"/>
          <w:sz w:val="22"/>
        </w:rPr>
        <w:t xml:space="preserve">, </w:t>
      </w:r>
      <w:r w:rsidRPr="000C109E">
        <w:rPr>
          <w:rFonts w:ascii="Times New Roman" w:hAnsi="Times New Roman" w:cs="Times New Roman"/>
          <w:b/>
          <w:bCs/>
          <w:i w:val="0"/>
          <w:sz w:val="22"/>
        </w:rPr>
        <w:t xml:space="preserve">Ms. </w:t>
      </w:r>
      <w:r w:rsidR="004B0820" w:rsidRPr="000C109E">
        <w:rPr>
          <w:rFonts w:ascii="Times New Roman" w:hAnsi="Times New Roman" w:cs="Times New Roman"/>
          <w:b/>
          <w:bCs/>
          <w:i w:val="0"/>
          <w:sz w:val="22"/>
        </w:rPr>
        <w:t>Cherry Mae B. Bag-o</w:t>
      </w:r>
      <w:r w:rsidR="00B75506" w:rsidRPr="000C109E">
        <w:rPr>
          <w:rFonts w:ascii="Times New Roman" w:hAnsi="Times New Roman" w:cs="Times New Roman"/>
          <w:b/>
          <w:bCs/>
          <w:i w:val="0"/>
          <w:sz w:val="22"/>
        </w:rPr>
        <w:t xml:space="preserve"> </w:t>
      </w:r>
      <w:r w:rsidR="00D106D6" w:rsidRPr="000C109E">
        <w:rPr>
          <w:rFonts w:ascii="Times New Roman" w:hAnsi="Times New Roman" w:cs="Times New Roman"/>
          <w:b/>
          <w:bCs/>
          <w:i w:val="0"/>
          <w:sz w:val="22"/>
          <w:vertAlign w:val="superscript"/>
        </w:rPr>
        <w:t>4</w:t>
      </w:r>
    </w:p>
    <w:p w14:paraId="10E56663" w14:textId="0F8107C6" w:rsidR="00D20A29" w:rsidRPr="000C109E" w:rsidRDefault="00B75506" w:rsidP="00B75506">
      <w:pPr>
        <w:pStyle w:val="WJS-d-Affiliations"/>
        <w:jc w:val="center"/>
        <w:rPr>
          <w:rFonts w:ascii="Times New Roman" w:hAnsi="Times New Roman" w:cs="Times New Roman"/>
          <w:sz w:val="22"/>
        </w:rPr>
      </w:pPr>
      <w:r w:rsidRPr="000C109E">
        <w:rPr>
          <w:rFonts w:ascii="Times New Roman" w:hAnsi="Times New Roman" w:cs="Times New Roman"/>
          <w:sz w:val="22"/>
          <w:vertAlign w:val="superscript"/>
        </w:rPr>
        <w:t>1</w:t>
      </w:r>
      <w:r w:rsidR="0002171C" w:rsidRPr="000C109E">
        <w:rPr>
          <w:rFonts w:ascii="Times New Roman" w:hAnsi="Times New Roman" w:cs="Times New Roman"/>
          <w:sz w:val="22"/>
        </w:rPr>
        <w:t xml:space="preserve">Adjunct Faculty, </w:t>
      </w:r>
      <w:proofErr w:type="spellStart"/>
      <w:r w:rsidR="004B0820" w:rsidRPr="000C109E">
        <w:rPr>
          <w:rFonts w:ascii="Times New Roman" w:hAnsi="Times New Roman" w:cs="Times New Roman"/>
          <w:sz w:val="22"/>
        </w:rPr>
        <w:t>Mahayag</w:t>
      </w:r>
      <w:proofErr w:type="spellEnd"/>
      <w:r w:rsidR="004B0820" w:rsidRPr="000C109E">
        <w:rPr>
          <w:rFonts w:ascii="Times New Roman" w:hAnsi="Times New Roman" w:cs="Times New Roman"/>
          <w:sz w:val="22"/>
        </w:rPr>
        <w:t xml:space="preserve"> National High School, Bohol</w:t>
      </w:r>
      <w:r w:rsidR="00E92C1F" w:rsidRPr="000C109E">
        <w:rPr>
          <w:rFonts w:ascii="Times New Roman" w:hAnsi="Times New Roman" w:cs="Times New Roman"/>
          <w:sz w:val="22"/>
        </w:rPr>
        <w:t>, Philippines</w:t>
      </w:r>
    </w:p>
    <w:p w14:paraId="339A11A7" w14:textId="1A0506E9" w:rsidR="0002171C" w:rsidRPr="000C109E" w:rsidRDefault="0002171C" w:rsidP="0002171C">
      <w:pPr>
        <w:pStyle w:val="WJS-d-Affiliations"/>
        <w:jc w:val="center"/>
        <w:rPr>
          <w:rFonts w:ascii="Times New Roman" w:hAnsi="Times New Roman" w:cs="Times New Roman"/>
          <w:sz w:val="22"/>
        </w:rPr>
      </w:pPr>
      <w:r w:rsidRPr="000C109E">
        <w:rPr>
          <w:rFonts w:ascii="Times New Roman" w:hAnsi="Times New Roman" w:cs="Times New Roman"/>
          <w:sz w:val="22"/>
          <w:vertAlign w:val="superscript"/>
        </w:rPr>
        <w:t>2</w:t>
      </w:r>
      <w:r w:rsidR="004B0820" w:rsidRPr="000C109E">
        <w:rPr>
          <w:rFonts w:ascii="Times New Roman" w:hAnsi="Times New Roman" w:cs="Times New Roman"/>
          <w:sz w:val="22"/>
        </w:rPr>
        <w:t>Negros Oriental State University-Main Campus</w:t>
      </w:r>
      <w:r w:rsidR="00E92C1F" w:rsidRPr="000C109E">
        <w:rPr>
          <w:rFonts w:ascii="Times New Roman" w:hAnsi="Times New Roman" w:cs="Times New Roman"/>
          <w:sz w:val="22"/>
        </w:rPr>
        <w:t>, Philippines</w:t>
      </w:r>
    </w:p>
    <w:p w14:paraId="1BED8CE9" w14:textId="03D149C4" w:rsidR="004B0820" w:rsidRPr="000C109E" w:rsidRDefault="004B0820" w:rsidP="004B0820">
      <w:pPr>
        <w:pStyle w:val="WJS-d-Affiliations"/>
        <w:jc w:val="center"/>
        <w:rPr>
          <w:rFonts w:ascii="Times New Roman" w:hAnsi="Times New Roman" w:cs="Times New Roman"/>
          <w:sz w:val="22"/>
        </w:rPr>
      </w:pPr>
      <w:r w:rsidRPr="000C109E">
        <w:rPr>
          <w:rFonts w:ascii="Times New Roman" w:hAnsi="Times New Roman" w:cs="Times New Roman"/>
          <w:sz w:val="22"/>
          <w:vertAlign w:val="superscript"/>
        </w:rPr>
        <w:t>3</w:t>
      </w:r>
      <w:r w:rsidRPr="000C109E">
        <w:rPr>
          <w:rFonts w:ascii="Times New Roman" w:hAnsi="Times New Roman" w:cs="Times New Roman"/>
          <w:sz w:val="22"/>
        </w:rPr>
        <w:t>Holy Name University, Bohol, Philippines</w:t>
      </w:r>
    </w:p>
    <w:p w14:paraId="43DC01E7" w14:textId="153CBA67" w:rsidR="004B0820" w:rsidRPr="000C109E" w:rsidRDefault="004B0820" w:rsidP="004B0820">
      <w:pPr>
        <w:pStyle w:val="WJS-d-Affiliations"/>
        <w:jc w:val="center"/>
        <w:rPr>
          <w:rFonts w:ascii="Times New Roman" w:hAnsi="Times New Roman" w:cs="Times New Roman"/>
          <w:sz w:val="22"/>
        </w:rPr>
      </w:pPr>
      <w:r w:rsidRPr="000C109E">
        <w:rPr>
          <w:rFonts w:ascii="Times New Roman" w:hAnsi="Times New Roman" w:cs="Times New Roman"/>
          <w:sz w:val="22"/>
          <w:vertAlign w:val="superscript"/>
        </w:rPr>
        <w:t>4</w:t>
      </w:r>
      <w:r w:rsidRPr="000C109E">
        <w:rPr>
          <w:rFonts w:ascii="Times New Roman" w:hAnsi="Times New Roman" w:cs="Times New Roman"/>
          <w:sz w:val="22"/>
        </w:rPr>
        <w:t>Bangwalog High School, Philippines</w:t>
      </w:r>
    </w:p>
    <w:p w14:paraId="52B63848" w14:textId="77777777" w:rsidR="0002171C" w:rsidRPr="000C109E" w:rsidRDefault="0002171C" w:rsidP="00B75506">
      <w:pPr>
        <w:pStyle w:val="WJS-d-Affiliations"/>
        <w:jc w:val="center"/>
        <w:rPr>
          <w:rFonts w:ascii="Times New Roman" w:hAnsi="Times New Roman" w:cs="Times New Roman"/>
          <w:sz w:val="22"/>
        </w:rPr>
      </w:pPr>
    </w:p>
    <w:p w14:paraId="503C7A89" w14:textId="1656EAAC" w:rsidR="0056197A" w:rsidRPr="000C109E" w:rsidRDefault="0056197A" w:rsidP="0056197A">
      <w:pPr>
        <w:pStyle w:val="WJS-f-DOIinfo"/>
        <w:spacing w:after="0"/>
        <w:jc w:val="center"/>
        <w:rPr>
          <w:rFonts w:ascii="Times New Roman" w:hAnsi="Times New Roman" w:cs="Times New Roman"/>
        </w:rPr>
      </w:pPr>
      <w:r w:rsidRPr="000C109E">
        <w:rPr>
          <w:rFonts w:ascii="Times New Roman" w:hAnsi="Times New Roman" w:cs="Times New Roman"/>
          <w:color w:val="0000FF"/>
        </w:rPr>
        <w:t>Publication history:</w:t>
      </w:r>
      <w:r w:rsidRPr="000C109E">
        <w:rPr>
          <w:rFonts w:ascii="Times New Roman" w:hAnsi="Times New Roman" w:cs="Times New Roman"/>
          <w:i/>
          <w:iCs/>
        </w:rPr>
        <w:t xml:space="preserve"> </w:t>
      </w:r>
      <w:r w:rsidRPr="000C109E">
        <w:rPr>
          <w:rFonts w:ascii="Times New Roman" w:eastAsia="Times New Roman" w:hAnsi="Times New Roman" w:cs="Times New Roman"/>
          <w:color w:val="000000"/>
          <w:szCs w:val="20"/>
          <w:lang w:val="en-PH" w:eastAsia="en-PH"/>
        </w:rPr>
        <w:t xml:space="preserve">Received: </w:t>
      </w:r>
      <w:r w:rsidR="00D415B7" w:rsidRPr="000C109E">
        <w:rPr>
          <w:rFonts w:ascii="Times New Roman" w:eastAsia="Times New Roman" w:hAnsi="Times New Roman" w:cs="Times New Roman"/>
          <w:color w:val="000000"/>
          <w:szCs w:val="20"/>
          <w:lang w:val="en-PH" w:eastAsia="en-PH"/>
        </w:rPr>
        <w:t xml:space="preserve">December </w:t>
      </w:r>
      <w:r w:rsidR="0002171C" w:rsidRPr="000C109E">
        <w:rPr>
          <w:rFonts w:ascii="Times New Roman" w:eastAsia="Times New Roman" w:hAnsi="Times New Roman" w:cs="Times New Roman"/>
          <w:color w:val="000000"/>
          <w:szCs w:val="20"/>
          <w:lang w:val="en-PH" w:eastAsia="en-PH"/>
        </w:rPr>
        <w:t>2</w:t>
      </w:r>
      <w:r w:rsidR="00CA4E7A" w:rsidRPr="000C109E">
        <w:rPr>
          <w:rFonts w:ascii="Times New Roman" w:eastAsia="Times New Roman" w:hAnsi="Times New Roman" w:cs="Times New Roman"/>
          <w:color w:val="000000"/>
          <w:szCs w:val="20"/>
          <w:lang w:val="en-PH" w:eastAsia="en-PH"/>
        </w:rPr>
        <w:t>5</w:t>
      </w:r>
      <w:r w:rsidR="00D415B7" w:rsidRPr="000C109E">
        <w:rPr>
          <w:rFonts w:ascii="Times New Roman" w:eastAsia="Times New Roman" w:hAnsi="Times New Roman" w:cs="Times New Roman"/>
          <w:color w:val="000000"/>
          <w:szCs w:val="20"/>
          <w:lang w:val="en-PH" w:eastAsia="en-PH"/>
        </w:rPr>
        <w:t>,</w:t>
      </w:r>
      <w:r w:rsidRPr="000C109E">
        <w:rPr>
          <w:rFonts w:ascii="Times New Roman" w:eastAsia="Times New Roman" w:hAnsi="Times New Roman" w:cs="Times New Roman"/>
          <w:color w:val="000000"/>
          <w:szCs w:val="20"/>
          <w:lang w:val="en-PH" w:eastAsia="en-PH"/>
        </w:rPr>
        <w:t xml:space="preserve"> 2025; Revised: January </w:t>
      </w:r>
      <w:r w:rsidR="00CA4E7A" w:rsidRPr="000C109E">
        <w:rPr>
          <w:rFonts w:ascii="Times New Roman" w:eastAsia="Times New Roman" w:hAnsi="Times New Roman" w:cs="Times New Roman"/>
          <w:color w:val="000000"/>
          <w:szCs w:val="20"/>
          <w:lang w:val="en-PH" w:eastAsia="en-PH"/>
        </w:rPr>
        <w:t>28</w:t>
      </w:r>
      <w:r w:rsidRPr="000C109E">
        <w:rPr>
          <w:rFonts w:ascii="Times New Roman" w:eastAsia="Times New Roman" w:hAnsi="Times New Roman" w:cs="Times New Roman"/>
          <w:color w:val="000000"/>
          <w:szCs w:val="20"/>
          <w:lang w:val="en-PH" w:eastAsia="en-PH"/>
        </w:rPr>
        <w:t xml:space="preserve">, 2026; Accepted: </w:t>
      </w:r>
      <w:r w:rsidR="00CA4E7A" w:rsidRPr="000C109E">
        <w:rPr>
          <w:rFonts w:ascii="Times New Roman" w:eastAsia="Times New Roman" w:hAnsi="Times New Roman" w:cs="Times New Roman"/>
          <w:color w:val="000000"/>
          <w:szCs w:val="20"/>
          <w:lang w:val="en-PH" w:eastAsia="en-PH"/>
        </w:rPr>
        <w:t>February 8</w:t>
      </w:r>
      <w:r w:rsidRPr="000C109E">
        <w:rPr>
          <w:rFonts w:ascii="Times New Roman" w:eastAsia="Times New Roman" w:hAnsi="Times New Roman" w:cs="Times New Roman"/>
          <w:color w:val="000000"/>
          <w:szCs w:val="20"/>
          <w:lang w:val="en-PH" w:eastAsia="en-PH"/>
        </w:rPr>
        <w:t>, 2026</w:t>
      </w:r>
    </w:p>
    <w:p w14:paraId="3B35ABE4" w14:textId="09A6C55D" w:rsidR="0056197A" w:rsidRPr="00DF18B1" w:rsidRDefault="0056197A" w:rsidP="0056197A">
      <w:pPr>
        <w:pStyle w:val="WJS-f-DOIinfo"/>
        <w:spacing w:after="0"/>
        <w:jc w:val="center"/>
        <w:rPr>
          <w:rFonts w:ascii="Times New Roman" w:hAnsi="Times New Roman" w:cs="Times New Roman"/>
        </w:rPr>
      </w:pPr>
      <w:r w:rsidRPr="000C109E">
        <w:rPr>
          <w:rFonts w:ascii="Times New Roman" w:hAnsi="Times New Roman" w:cs="Times New Roman"/>
        </w:rPr>
        <w:t xml:space="preserve">Email of Corresponding Author: </w:t>
      </w:r>
      <w:hyperlink r:id="rId8" w:history="1">
        <w:r w:rsidR="00A84B18" w:rsidRPr="000C109E">
          <w:rPr>
            <w:rStyle w:val="Hyperlink"/>
          </w:rPr>
          <w:t>e.nabor@hnu.edu.ph</w:t>
        </w:r>
      </w:hyperlink>
      <w:r w:rsidR="00A84B18">
        <w:t xml:space="preserve"> </w:t>
      </w:r>
    </w:p>
    <w:p w14:paraId="7FA02B28" w14:textId="21523EC6" w:rsidR="00FB5E23" w:rsidRPr="00A902A8" w:rsidRDefault="00FB5E23" w:rsidP="00341014">
      <w:pPr>
        <w:pStyle w:val="WJS-h-Abstracttitle"/>
        <w:jc w:val="center"/>
        <w:rPr>
          <w:rFonts w:ascii="Times New Roman" w:hAnsi="Times New Roman" w:cs="Times New Roman"/>
          <w:color w:val="984806" w:themeColor="accent6" w:themeShade="80"/>
        </w:rPr>
      </w:pPr>
      <w:r w:rsidRPr="00A902A8">
        <w:rPr>
          <w:rFonts w:ascii="Times New Roman" w:hAnsi="Times New Roman" w:cs="Times New Roman"/>
          <w:color w:val="984806" w:themeColor="accent6" w:themeShade="80"/>
        </w:rPr>
        <w:t>Abstract</w:t>
      </w:r>
    </w:p>
    <w:p w14:paraId="089C8220" w14:textId="77777777" w:rsidR="001525E6" w:rsidRPr="001525E6" w:rsidRDefault="001525E6" w:rsidP="001525E6">
      <w:r w:rsidRPr="001525E6">
        <w:t xml:space="preserve">This study examined the effect of the Gold Standard Project-Based Learning (GSPBL) model on Grade 8 students’ ability to solve linear equations in one variable, compared with conventional teaching, using a quasi-experimental pretest–posttest matched-group approach. The research was conducted at </w:t>
      </w:r>
      <w:proofErr w:type="spellStart"/>
      <w:r w:rsidRPr="001525E6">
        <w:t>Mahayag</w:t>
      </w:r>
      <w:proofErr w:type="spellEnd"/>
      <w:r w:rsidRPr="001525E6">
        <w:t xml:space="preserve"> National High School–Junior High School, San Miguel District, Division of Bohol, with thirty (30) Grade 8 students selected from approximately one hundred eighty (180) learners based on parental consent. A researcher-made 30-item achievement test served as both pretest and posttest, supported by a table of specifications, curriculum-based content validation, pilot testing, item analysis (difficulty and discrimination), and reliability estimation using the Kuder–Richardson formula. Group comparability was strengthened through matching procedures using pretest scores to form control and experimental groups prior to implementation. Results showed very low baseline performance, with both groups initially classified below proficiency, and both groups demonstrated statistically significant pretest-to-posttest improvement (control P-value = 0.0004; experimental P-value = 0.003). However, the posttest comparison indicated no statistically significant difference between the two groups’ performance (P-value = 0.76), suggesting comparable outcomes under the study timeframe and conditions. The study concludes that GSPBL is a viable approach for enriching students’ skills in the target competency, while recommending broader instructional support, teacher capacity-building, and future replications with longer exposure and delayed </w:t>
      </w:r>
      <w:proofErr w:type="spellStart"/>
      <w:r w:rsidRPr="001525E6">
        <w:t>posttesting</w:t>
      </w:r>
      <w:proofErr w:type="spellEnd"/>
      <w:r w:rsidRPr="001525E6">
        <w:t xml:space="preserve">. In terms of SDGs, the study most directly aligns with SDG 4 (Quality Education) through its focus on improving mathematics learning outcomes, and it supports educational sustainability by promoting structured learner-centered instruction that can strengthen foundational problem-solving competencies in basic education. </w:t>
      </w:r>
    </w:p>
    <w:p w14:paraId="7461D434" w14:textId="22BEA1EB" w:rsidR="00684AD7" w:rsidRPr="0011251F" w:rsidRDefault="00FB5E23" w:rsidP="0011251F">
      <w:pPr>
        <w:pStyle w:val="WJS-j-Keywords"/>
        <w:rPr>
          <w:rFonts w:ascii="Times New Roman" w:hAnsi="Times New Roman" w:cs="Times New Roman"/>
          <w:b w:val="0"/>
          <w:bCs/>
          <w:szCs w:val="20"/>
        </w:rPr>
      </w:pPr>
      <w:r w:rsidRPr="00A902A8">
        <w:rPr>
          <w:rFonts w:ascii="Times New Roman" w:hAnsi="Times New Roman" w:cs="Times New Roman"/>
          <w:color w:val="984806" w:themeColor="accent6" w:themeShade="80"/>
          <w:sz w:val="22"/>
          <w:szCs w:val="24"/>
        </w:rPr>
        <w:t>Keywords:</w:t>
      </w:r>
      <w:r w:rsidR="001E6358" w:rsidRPr="00A902A8">
        <w:rPr>
          <w:rFonts w:ascii="Times New Roman" w:hAnsi="Times New Roman" w:cs="Times New Roman"/>
          <w:color w:val="984806" w:themeColor="accent6" w:themeShade="80"/>
          <w:sz w:val="22"/>
          <w:szCs w:val="24"/>
        </w:rPr>
        <w:t xml:space="preserve"> </w:t>
      </w:r>
      <w:r w:rsidR="001525E6" w:rsidRPr="001525E6">
        <w:rPr>
          <w:rFonts w:ascii="Times New Roman" w:hAnsi="Times New Roman" w:cs="Times New Roman"/>
          <w:b w:val="0"/>
          <w:bCs/>
          <w:szCs w:val="20"/>
        </w:rPr>
        <w:t>Algebra; Experiential Learning Theory; Gold Standard Project-Based Learning; Problem-solving; Quasi-experimental design; Social Constructivist Theory; Student achievement</w:t>
      </w:r>
    </w:p>
    <w:p w14:paraId="319C4DDB" w14:textId="0B29DB45" w:rsidR="008A59B2" w:rsidRDefault="008A59B2" w:rsidP="000B4B31">
      <w:pPr>
        <w:pStyle w:val="Heading1"/>
      </w:pPr>
      <w:r w:rsidRPr="009B379E">
        <w:t>Introduction</w:t>
      </w:r>
      <w:r w:rsidR="000F4111" w:rsidRPr="009B379E">
        <w:t xml:space="preserve"> </w:t>
      </w:r>
    </w:p>
    <w:p w14:paraId="5C72C261" w14:textId="28A514A8" w:rsidR="00D61879" w:rsidRDefault="00D61879" w:rsidP="0002171C">
      <w:pPr>
        <w:spacing w:after="0"/>
        <w:rPr>
          <w:rFonts w:ascii="Times New Roman" w:hAnsi="Times New Roman" w:cs="Times New Roman"/>
        </w:rPr>
      </w:pPr>
      <w:r w:rsidRPr="00D61879">
        <w:rPr>
          <w:rFonts w:ascii="Times New Roman" w:hAnsi="Times New Roman" w:cs="Times New Roman"/>
        </w:rPr>
        <w:t xml:space="preserve">Mathematics is positioned as a key driver of learners’ critical thinking and higher-order thinking development, with algebra serving as a foundational strand that supports learning across disciplines and real-world problem solving (Ampadu &amp; Anokye-Poku, 2022). Linear equations in one variable are emphasized as essential algebraic competencies, yet many learners struggle when instruction is dominated by rote procedures rather than concept formation and contextualization (Holmlund, 2024; Assadi &amp; Hibi, 2022). In response, Project-Based Learning (PBL)—particularly the Gold Standard PBL (GSPBL) framework—has been advanced as a student-centered, real-world anchored approach intended to deepen understanding, strengthen problem-solving, and increase engagement through inquiry, collaboration, and authentic outputs (Lucas Education Research, 2021; Fisher, et.al., 2020; Larmer, </w:t>
      </w:r>
      <w:proofErr w:type="spellStart"/>
      <w:r w:rsidRPr="00D61879">
        <w:rPr>
          <w:rFonts w:ascii="Times New Roman" w:hAnsi="Times New Roman" w:cs="Times New Roman"/>
        </w:rPr>
        <w:t>Mergendoller</w:t>
      </w:r>
      <w:proofErr w:type="spellEnd"/>
      <w:r w:rsidRPr="00D61879">
        <w:rPr>
          <w:rFonts w:ascii="Times New Roman" w:hAnsi="Times New Roman" w:cs="Times New Roman"/>
        </w:rPr>
        <w:t>, &amp; Boss, 2015). Anchored on social constructivist and experiential learning perspectives (Vygotsky, 1978; Kolb, 1984), the study is framed around addressing persistent instructional gaps in algebra by examining the effect of GSPBL on solving linear equations in one variable.</w:t>
      </w:r>
    </w:p>
    <w:p w14:paraId="11961F1D" w14:textId="77777777" w:rsidR="00D61879" w:rsidRDefault="00D61879" w:rsidP="0002171C">
      <w:pPr>
        <w:spacing w:after="0"/>
        <w:rPr>
          <w:rFonts w:ascii="Times New Roman" w:hAnsi="Times New Roman" w:cs="Times New Roman"/>
        </w:rPr>
      </w:pPr>
    </w:p>
    <w:p w14:paraId="3E6BA4E1" w14:textId="2E9C39C8" w:rsidR="00D61879" w:rsidRDefault="00D61879" w:rsidP="0002171C">
      <w:pPr>
        <w:spacing w:after="0"/>
        <w:rPr>
          <w:rFonts w:ascii="Times New Roman" w:hAnsi="Times New Roman" w:cs="Times New Roman"/>
        </w:rPr>
      </w:pPr>
      <w:r w:rsidRPr="00D61879">
        <w:rPr>
          <w:rFonts w:ascii="Times New Roman" w:hAnsi="Times New Roman" w:cs="Times New Roman"/>
        </w:rPr>
        <w:t>Mathematics education reforms foreground the development of learners’ critical thinking, recognizing mathematics as central to everyday decision-making and higher-order thinking formation (Ampadu &amp; Anokye-Poku, 2022). Within mathematics, algebra functions as a core foundation, and linear equations in one variable are treated as a critical entry point that supports later, more complex mathematical learning and practical applications (Holmlund, 2024</w:t>
      </w:r>
      <w:r w:rsidR="000E760B">
        <w:rPr>
          <w:rFonts w:ascii="Times New Roman" w:hAnsi="Times New Roman" w:cs="Times New Roman"/>
        </w:rPr>
        <w:t>; Santos, 2024</w:t>
      </w:r>
      <w:r w:rsidRPr="00D61879">
        <w:rPr>
          <w:rFonts w:ascii="Times New Roman" w:hAnsi="Times New Roman" w:cs="Times New Roman"/>
        </w:rPr>
        <w:t>). However, learners often encounter difficulty because instruction may privilege memorization and procedures over conceptual understanding, limiting students’ ability to translate abstract equation concepts into real-life meaning and leaving prerequisite misconceptions unaddressed (Assadi &amp; Hibi, 2022).</w:t>
      </w:r>
    </w:p>
    <w:p w14:paraId="3CEBDC43" w14:textId="12A3EBAB" w:rsidR="00D61879" w:rsidRDefault="00D61879" w:rsidP="0002171C">
      <w:pPr>
        <w:spacing w:after="0"/>
        <w:rPr>
          <w:rFonts w:ascii="Times New Roman" w:hAnsi="Times New Roman" w:cs="Times New Roman"/>
        </w:rPr>
      </w:pPr>
    </w:p>
    <w:p w14:paraId="3594B871" w14:textId="783FF1CA" w:rsidR="00D61879" w:rsidRDefault="00D61879" w:rsidP="0002171C">
      <w:pPr>
        <w:spacing w:after="0"/>
        <w:rPr>
          <w:rFonts w:ascii="Times New Roman" w:hAnsi="Times New Roman" w:cs="Times New Roman"/>
        </w:rPr>
      </w:pPr>
      <w:r w:rsidRPr="00D61879">
        <w:rPr>
          <w:rFonts w:ascii="Times New Roman" w:hAnsi="Times New Roman" w:cs="Times New Roman"/>
        </w:rPr>
        <w:lastRenderedPageBreak/>
        <w:t xml:space="preserve">A consistent theme in the literature is that PBL strengthens learning by engaging students in solving meaningful problems that require inquiry, collaboration, and the construction of knowledge through authentic tasks. Rigorous PBL is linked with positive effects on student outcomes across subjects and grade levels, supporting achievement and improved teaching practices (Lucas Education Research, 2021). PBL is also described as enabling learners to work autonomously while producing realistic work products, shifting learning from passive reception to active construction (Fisher, et.al., 2020). The GSPBL framework further specifies essential design elements—challenging problem or question, sustained inquiry, authenticity, student voice and choice, reflection, critique and revision, and a public product—to make projects rigorous and aligned to learning goals (Larmer, </w:t>
      </w:r>
      <w:proofErr w:type="spellStart"/>
      <w:r w:rsidRPr="00D61879">
        <w:rPr>
          <w:rFonts w:ascii="Times New Roman" w:hAnsi="Times New Roman" w:cs="Times New Roman"/>
        </w:rPr>
        <w:t>Mergendoller</w:t>
      </w:r>
      <w:proofErr w:type="spellEnd"/>
      <w:r w:rsidRPr="00D61879">
        <w:rPr>
          <w:rFonts w:ascii="Times New Roman" w:hAnsi="Times New Roman" w:cs="Times New Roman"/>
        </w:rPr>
        <w:t>, &amp; Boss, 2015</w:t>
      </w:r>
      <w:r w:rsidR="000E760B">
        <w:rPr>
          <w:rFonts w:ascii="Times New Roman" w:hAnsi="Times New Roman" w:cs="Times New Roman"/>
        </w:rPr>
        <w:t>; Banzon &amp; Santos 2025</w:t>
      </w:r>
      <w:r w:rsidRPr="00D61879">
        <w:rPr>
          <w:rFonts w:ascii="Times New Roman" w:hAnsi="Times New Roman" w:cs="Times New Roman"/>
        </w:rPr>
        <w:t>).</w:t>
      </w:r>
      <w:r>
        <w:rPr>
          <w:rFonts w:ascii="Times New Roman" w:hAnsi="Times New Roman" w:cs="Times New Roman"/>
        </w:rPr>
        <w:t xml:space="preserve"> </w:t>
      </w:r>
      <w:r w:rsidRPr="00D61879">
        <w:rPr>
          <w:rFonts w:ascii="Times New Roman" w:hAnsi="Times New Roman" w:cs="Times New Roman"/>
        </w:rPr>
        <w:t xml:space="preserve">A second theme is that, despite broad uptake of PBL in other fields, its targeted application in mathematics (especially algebra) remains relatively limited, even as research increasingly addresses its potential contributions (Abe &amp; Gbenro, 2020; </w:t>
      </w:r>
      <w:proofErr w:type="spellStart"/>
      <w:r w:rsidRPr="00D61879">
        <w:rPr>
          <w:rFonts w:ascii="Times New Roman" w:hAnsi="Times New Roman" w:cs="Times New Roman"/>
        </w:rPr>
        <w:t>Guvenc</w:t>
      </w:r>
      <w:proofErr w:type="spellEnd"/>
      <w:r w:rsidRPr="00D61879">
        <w:rPr>
          <w:rFonts w:ascii="Times New Roman" w:hAnsi="Times New Roman" w:cs="Times New Roman"/>
        </w:rPr>
        <w:t xml:space="preserve">, 2021; </w:t>
      </w:r>
      <w:proofErr w:type="spellStart"/>
      <w:r w:rsidRPr="00D61879">
        <w:rPr>
          <w:rFonts w:ascii="Times New Roman" w:hAnsi="Times New Roman" w:cs="Times New Roman"/>
        </w:rPr>
        <w:t>Boaler</w:t>
      </w:r>
      <w:proofErr w:type="spellEnd"/>
      <w:r w:rsidRPr="00D61879">
        <w:rPr>
          <w:rFonts w:ascii="Times New Roman" w:hAnsi="Times New Roman" w:cs="Times New Roman"/>
        </w:rPr>
        <w:t xml:space="preserve">, 2002; Eroglu &amp; Unlu, 2022; Hasanah &amp; Surya, 2020). Related literature also flags implementation constraints—project organization, time demands, resources, and role shifts—alongside uneven teacher capacity and infrastructural support that can produce inconsistent outcomes (Viro et al., 2020; Fang et al., 2022; Ridha </w:t>
      </w:r>
      <w:proofErr w:type="spellStart"/>
      <w:r w:rsidRPr="00D61879">
        <w:rPr>
          <w:rFonts w:ascii="Times New Roman" w:hAnsi="Times New Roman" w:cs="Times New Roman"/>
        </w:rPr>
        <w:t>Syahdia</w:t>
      </w:r>
      <w:proofErr w:type="spellEnd"/>
      <w:r w:rsidRPr="00D61879">
        <w:rPr>
          <w:rFonts w:ascii="Times New Roman" w:hAnsi="Times New Roman" w:cs="Times New Roman"/>
        </w:rPr>
        <w:t xml:space="preserve"> et al., 2024; Adnan &amp; Abdul Rahman, 2024). Within mathematics instruction specifically, contextualizing linear equations is repeatedly framed as necessary because many learners struggle with abstractness when learning is reduced to drills and procedures (Assadi &amp; Hibi, 2022; Holmlund, 2024).</w:t>
      </w:r>
    </w:p>
    <w:p w14:paraId="37ADEFA3" w14:textId="26CF120A" w:rsidR="00D61879" w:rsidRDefault="00D61879" w:rsidP="0002171C">
      <w:pPr>
        <w:spacing w:after="0"/>
        <w:rPr>
          <w:rFonts w:ascii="Times New Roman" w:hAnsi="Times New Roman" w:cs="Times New Roman"/>
        </w:rPr>
      </w:pPr>
    </w:p>
    <w:p w14:paraId="70F3CA98" w14:textId="6BC0BD46" w:rsidR="00D61879" w:rsidRDefault="00D61879" w:rsidP="0002171C">
      <w:pPr>
        <w:spacing w:after="0"/>
        <w:rPr>
          <w:rFonts w:ascii="Times New Roman" w:hAnsi="Times New Roman" w:cs="Times New Roman"/>
        </w:rPr>
      </w:pPr>
      <w:r w:rsidRPr="00D61879">
        <w:rPr>
          <w:rFonts w:ascii="Times New Roman" w:hAnsi="Times New Roman" w:cs="Times New Roman"/>
        </w:rPr>
        <w:t>Globally, PBL is positioned as an approach capable of improving student learning outcomes and advancing student-centered teaching practices when implemented rigorously (Lucas Education Research, 2021). In parallel, the Philippine policy environment cited in the text emphasizes innovation, research, and learner development through adequate and relevant education systems, reinforcing the legitimacy of adopting innovative, learner-centered strategies to address persistent learning difficulties and support holistic learner development.</w:t>
      </w:r>
    </w:p>
    <w:p w14:paraId="5C2A1612" w14:textId="559DA341" w:rsidR="00D61879" w:rsidRDefault="00D61879" w:rsidP="0002171C">
      <w:pPr>
        <w:spacing w:after="0"/>
        <w:rPr>
          <w:rFonts w:ascii="Times New Roman" w:hAnsi="Times New Roman" w:cs="Times New Roman"/>
        </w:rPr>
      </w:pPr>
    </w:p>
    <w:p w14:paraId="1B8CD1FA" w14:textId="526EF0B7" w:rsidR="00D61879" w:rsidRDefault="00D61879" w:rsidP="0002171C">
      <w:pPr>
        <w:spacing w:after="0"/>
        <w:rPr>
          <w:rFonts w:ascii="Times New Roman" w:hAnsi="Times New Roman" w:cs="Times New Roman"/>
        </w:rPr>
      </w:pPr>
      <w:r w:rsidRPr="00D61879">
        <w:rPr>
          <w:rFonts w:ascii="Times New Roman" w:hAnsi="Times New Roman" w:cs="Times New Roman"/>
        </w:rPr>
        <w:t xml:space="preserve">The study is anchored on Social Constructivist Theory and Experiential Learning Theory, emphasizing knowledge construction through interaction, guided support, experience, and reflection. From a social constructivist lens, learning is facilitated within the zone of proximal development through scaffolding and collaborative activity, supporting learners’ movement from contextualized understanding to abstract mathematical reasoning (Vygotsky, 1978). Complementarily, experiential learning frames understanding as cyclical—concrete experience, reflection, abstraction, and active experimentation—supporting deeper retention when students solve real-world problems and apply concepts in new situations (Kolb, 1984). These perspectives align with PBL and are operationalized through the structured elements of the GSPBL design framework (Larmer, </w:t>
      </w:r>
      <w:proofErr w:type="spellStart"/>
      <w:r w:rsidRPr="00D61879">
        <w:rPr>
          <w:rFonts w:ascii="Times New Roman" w:hAnsi="Times New Roman" w:cs="Times New Roman"/>
        </w:rPr>
        <w:t>Mergendoller</w:t>
      </w:r>
      <w:proofErr w:type="spellEnd"/>
      <w:r w:rsidRPr="00D61879">
        <w:rPr>
          <w:rFonts w:ascii="Times New Roman" w:hAnsi="Times New Roman" w:cs="Times New Roman"/>
        </w:rPr>
        <w:t>, &amp; Boss, 2015</w:t>
      </w:r>
      <w:r w:rsidR="000E760B">
        <w:rPr>
          <w:rFonts w:ascii="Times New Roman" w:hAnsi="Times New Roman" w:cs="Times New Roman"/>
        </w:rPr>
        <w:t xml:space="preserve">; </w:t>
      </w:r>
      <w:r w:rsidR="000E760B" w:rsidRPr="000E760B">
        <w:rPr>
          <w:rFonts w:ascii="Times New Roman" w:hAnsi="Times New Roman" w:cs="Times New Roman"/>
        </w:rPr>
        <w:t>Agustin</w:t>
      </w:r>
      <w:r w:rsidR="000E760B">
        <w:rPr>
          <w:rFonts w:ascii="Times New Roman" w:hAnsi="Times New Roman" w:cs="Times New Roman"/>
        </w:rPr>
        <w:t xml:space="preserve"> et al., 2025</w:t>
      </w:r>
      <w:r w:rsidRPr="00D61879">
        <w:rPr>
          <w:rFonts w:ascii="Times New Roman" w:hAnsi="Times New Roman" w:cs="Times New Roman"/>
        </w:rPr>
        <w:t>).</w:t>
      </w:r>
    </w:p>
    <w:p w14:paraId="060AFF7A" w14:textId="6EF7B067" w:rsidR="00D61879" w:rsidRDefault="00D61879" w:rsidP="0002171C">
      <w:pPr>
        <w:spacing w:after="0"/>
        <w:rPr>
          <w:rFonts w:ascii="Times New Roman" w:hAnsi="Times New Roman" w:cs="Times New Roman"/>
        </w:rPr>
      </w:pPr>
    </w:p>
    <w:p w14:paraId="2F374B64" w14:textId="0D15A717" w:rsidR="00D61879" w:rsidRDefault="00D61879" w:rsidP="0002171C">
      <w:pPr>
        <w:spacing w:after="0"/>
        <w:rPr>
          <w:rFonts w:ascii="Times New Roman" w:hAnsi="Times New Roman" w:cs="Times New Roman"/>
        </w:rPr>
      </w:pPr>
      <w:r w:rsidRPr="00D61879">
        <w:rPr>
          <w:rFonts w:ascii="Times New Roman" w:hAnsi="Times New Roman" w:cs="Times New Roman"/>
        </w:rPr>
        <w:t xml:space="preserve">Although PBL is widely discussed as beneficial for problem-solving and meaningful learning, the text highlights a continuing gap in mathematics-focused applications—particularly in algebra and linear equations in one variable—where instruction often remains procedural and insufficiently contextualized (Abe &amp; Gbenro, 2020; </w:t>
      </w:r>
      <w:proofErr w:type="spellStart"/>
      <w:r w:rsidRPr="00D61879">
        <w:rPr>
          <w:rFonts w:ascii="Times New Roman" w:hAnsi="Times New Roman" w:cs="Times New Roman"/>
        </w:rPr>
        <w:t>Guvenc</w:t>
      </w:r>
      <w:proofErr w:type="spellEnd"/>
      <w:r w:rsidRPr="00D61879">
        <w:rPr>
          <w:rFonts w:ascii="Times New Roman" w:hAnsi="Times New Roman" w:cs="Times New Roman"/>
        </w:rPr>
        <w:t xml:space="preserve">, 2021; Holmlund, 2024; Assadi &amp; Hibi, 2022). Given reported learner difficulties and the underexplored status of GSPBL within mathematics contexts, the study is motivated to examine whether a structured, authentic, student-centered model can enrich learners’ skills in solving linear equations in one variable (Larmer, </w:t>
      </w:r>
      <w:proofErr w:type="spellStart"/>
      <w:r w:rsidRPr="00D61879">
        <w:rPr>
          <w:rFonts w:ascii="Times New Roman" w:hAnsi="Times New Roman" w:cs="Times New Roman"/>
        </w:rPr>
        <w:t>Mergendoller</w:t>
      </w:r>
      <w:proofErr w:type="spellEnd"/>
      <w:r w:rsidRPr="00D61879">
        <w:rPr>
          <w:rFonts w:ascii="Times New Roman" w:hAnsi="Times New Roman" w:cs="Times New Roman"/>
        </w:rPr>
        <w:t>, &amp; Boss, 2015).</w:t>
      </w:r>
    </w:p>
    <w:p w14:paraId="6E47351A" w14:textId="77777777" w:rsidR="00D61879" w:rsidRDefault="00D61879" w:rsidP="0002171C">
      <w:pPr>
        <w:spacing w:after="0"/>
        <w:rPr>
          <w:rFonts w:ascii="Times New Roman" w:hAnsi="Times New Roman" w:cs="Times New Roman"/>
        </w:rPr>
      </w:pPr>
    </w:p>
    <w:p w14:paraId="742B771F" w14:textId="0E4A3C62" w:rsidR="00D61879" w:rsidRPr="00D61879" w:rsidRDefault="00D61879" w:rsidP="0002171C">
      <w:pPr>
        <w:spacing w:after="0"/>
        <w:rPr>
          <w:rFonts w:ascii="Times New Roman" w:hAnsi="Times New Roman" w:cs="Times New Roman"/>
        </w:rPr>
      </w:pPr>
      <w:r w:rsidRPr="00D61879">
        <w:rPr>
          <w:rFonts w:ascii="Times New Roman" w:hAnsi="Times New Roman" w:cs="Times New Roman"/>
        </w:rPr>
        <w:t>This study aligns with SDG 4 (Quality Education) by focusing on improving mathematics learning through student-centered pedagogy that addresses learners’ difficulties in solving linear equations and strengthens essential problem-solving skills, thereby contributing to better instructional quality and learning outcomes. It also supports SDG 9 (Industry, Innovation and Infrastructure) because the policy emphasis on innovation in education reinforces the value of adopting structured instructional innovations such as Gold Standard PBL, which helps build learners’ foundational competencies needed for innovation-oriented learning environments. In addition, the study relates to SDG 8 (Decent Work and Economic Growth) by enhancing students’ analytical and reasoning skills in mathematics, which contributes to longer-term human capital development and supports more sustainable economic participation as learners become better prepared for future academic and work-related demands.</w:t>
      </w:r>
    </w:p>
    <w:p w14:paraId="210D3481" w14:textId="77777777" w:rsidR="00D61879" w:rsidRDefault="00D61879" w:rsidP="0002171C">
      <w:pPr>
        <w:spacing w:after="0"/>
        <w:rPr>
          <w:rFonts w:ascii="Times New Roman" w:hAnsi="Times New Roman" w:cs="Times New Roman"/>
        </w:rPr>
      </w:pPr>
    </w:p>
    <w:p w14:paraId="52853BB5" w14:textId="51542B25" w:rsidR="00D61879" w:rsidRPr="001525E6" w:rsidRDefault="00D61879" w:rsidP="0002171C">
      <w:pPr>
        <w:spacing w:after="0"/>
        <w:rPr>
          <w:rFonts w:ascii="Times New Roman" w:hAnsi="Times New Roman" w:cs="Times New Roman"/>
        </w:rPr>
      </w:pPr>
      <w:r w:rsidRPr="001525E6">
        <w:rPr>
          <w:rFonts w:ascii="Times New Roman" w:hAnsi="Times New Roman" w:cs="Times New Roman"/>
        </w:rPr>
        <w:t xml:space="preserve">This study contributes to educational sustainability by addressing persistent barriers to deep mathematical understanding and by promoting learner-centered approaches that can be sustained through structured design elements and reflective practice. It also supports institutional and </w:t>
      </w:r>
      <w:proofErr w:type="gramStart"/>
      <w:r w:rsidRPr="001525E6">
        <w:rPr>
          <w:rFonts w:ascii="Times New Roman" w:hAnsi="Times New Roman" w:cs="Times New Roman"/>
        </w:rPr>
        <w:t>innovation</w:t>
      </w:r>
      <w:proofErr w:type="gramEnd"/>
      <w:r w:rsidRPr="001525E6">
        <w:rPr>
          <w:rFonts w:ascii="Times New Roman" w:hAnsi="Times New Roman" w:cs="Times New Roman"/>
        </w:rPr>
        <w:t xml:space="preserve"> sustainability by aligning instructional improvement with policy directions that encourage innovative teaching strategies and the strengthening of research- and </w:t>
      </w:r>
      <w:proofErr w:type="gramStart"/>
      <w:r w:rsidRPr="001525E6">
        <w:rPr>
          <w:rFonts w:ascii="Times New Roman" w:hAnsi="Times New Roman" w:cs="Times New Roman"/>
        </w:rPr>
        <w:t>innovation</w:t>
      </w:r>
      <w:proofErr w:type="gramEnd"/>
      <w:r w:rsidRPr="001525E6">
        <w:rPr>
          <w:rFonts w:ascii="Times New Roman" w:hAnsi="Times New Roman" w:cs="Times New Roman"/>
        </w:rPr>
        <w:t>-supportive learning environments. By improving learners’ capacity to reason with algebraic concepts that connect to real-life contexts, the work further strengthens socio-economic sustainability through foundational skills development that supports informed decision-making and future readiness.</w:t>
      </w:r>
    </w:p>
    <w:p w14:paraId="16C31E9F" w14:textId="77777777" w:rsidR="00D61879" w:rsidRDefault="00D61879" w:rsidP="0002171C">
      <w:pPr>
        <w:spacing w:after="0"/>
        <w:rPr>
          <w:rFonts w:ascii="Times New Roman" w:hAnsi="Times New Roman" w:cs="Times New Roman"/>
        </w:rPr>
      </w:pPr>
    </w:p>
    <w:p w14:paraId="34BD0C4E" w14:textId="12FC8DDE" w:rsidR="00D61879" w:rsidRDefault="00D61879" w:rsidP="0002171C">
      <w:pPr>
        <w:spacing w:after="0"/>
        <w:rPr>
          <w:rFonts w:ascii="Times New Roman" w:hAnsi="Times New Roman" w:cs="Times New Roman"/>
        </w:rPr>
      </w:pPr>
      <w:r w:rsidRPr="00D61879">
        <w:rPr>
          <w:rFonts w:ascii="Times New Roman" w:hAnsi="Times New Roman" w:cs="Times New Roman"/>
        </w:rPr>
        <w:t xml:space="preserve">The study seeks to determine the effect of the Gold Standard PBL (GSPBL) model on learners’ skills in solving linear equations in one variable, in response to documented learning difficulties and the limited emphasis on mathematics-focused applications of rigorous PBL (Holmlund, 2024; Assadi &amp; Hibi, 2022; Abe &amp; Gbenro, 2020; </w:t>
      </w:r>
      <w:proofErr w:type="spellStart"/>
      <w:r w:rsidRPr="00D61879">
        <w:rPr>
          <w:rFonts w:ascii="Times New Roman" w:hAnsi="Times New Roman" w:cs="Times New Roman"/>
        </w:rPr>
        <w:t>Guvenc</w:t>
      </w:r>
      <w:proofErr w:type="spellEnd"/>
      <w:r w:rsidRPr="00D61879">
        <w:rPr>
          <w:rFonts w:ascii="Times New Roman" w:hAnsi="Times New Roman" w:cs="Times New Roman"/>
        </w:rPr>
        <w:t>, 2021).</w:t>
      </w:r>
    </w:p>
    <w:p w14:paraId="01C7ABEF" w14:textId="10C0B86A" w:rsidR="00D61879" w:rsidRDefault="00D61879" w:rsidP="0002171C">
      <w:pPr>
        <w:spacing w:after="0"/>
        <w:rPr>
          <w:rFonts w:ascii="Times New Roman" w:hAnsi="Times New Roman" w:cs="Times New Roman"/>
        </w:rPr>
      </w:pPr>
    </w:p>
    <w:p w14:paraId="73245705" w14:textId="323AB1B8" w:rsidR="00D61879" w:rsidRDefault="00D61879" w:rsidP="00D61879">
      <w:pPr>
        <w:pStyle w:val="Heading1"/>
        <w:numPr>
          <w:ilvl w:val="0"/>
          <w:numId w:val="0"/>
        </w:numPr>
      </w:pPr>
    </w:p>
    <w:p w14:paraId="29B0FE30" w14:textId="5A1F058A" w:rsidR="008A59B2" w:rsidRDefault="00C6041C" w:rsidP="000B4B31">
      <w:pPr>
        <w:pStyle w:val="Heading1"/>
      </w:pPr>
      <w:r>
        <w:t>Materials</w:t>
      </w:r>
      <w:r w:rsidR="008A59B2" w:rsidRPr="009B379E">
        <w:t xml:space="preserve"> and </w:t>
      </w:r>
      <w:r w:rsidR="003C6513" w:rsidRPr="009B379E">
        <w:t>m</w:t>
      </w:r>
      <w:r w:rsidR="008A59B2" w:rsidRPr="009B379E">
        <w:t>ethods</w:t>
      </w:r>
    </w:p>
    <w:p w14:paraId="66092447" w14:textId="77777777" w:rsidR="0002171C" w:rsidRPr="0002171C" w:rsidRDefault="0002171C" w:rsidP="0002171C">
      <w:pPr>
        <w:spacing w:after="0"/>
        <w:rPr>
          <w:rFonts w:ascii="Times New Roman" w:hAnsi="Times New Roman" w:cs="Times New Roman"/>
          <w:b/>
          <w:bCs/>
          <w:lang w:val="en-GB"/>
        </w:rPr>
      </w:pPr>
      <w:r w:rsidRPr="0002171C">
        <w:rPr>
          <w:rFonts w:ascii="Times New Roman" w:hAnsi="Times New Roman" w:cs="Times New Roman"/>
          <w:b/>
          <w:bCs/>
          <w:lang w:val="en-GB"/>
        </w:rPr>
        <w:t xml:space="preserve">2.1 Research Design </w:t>
      </w:r>
    </w:p>
    <w:p w14:paraId="3349A5C2" w14:textId="5A123F3C" w:rsidR="00D61879" w:rsidRDefault="007D1237" w:rsidP="0002171C">
      <w:pPr>
        <w:spacing w:after="0"/>
        <w:rPr>
          <w:rFonts w:ascii="Times New Roman" w:hAnsi="Times New Roman" w:cs="Times New Roman"/>
        </w:rPr>
      </w:pPr>
      <w:r w:rsidRPr="007D1237">
        <w:rPr>
          <w:rFonts w:ascii="Times New Roman" w:hAnsi="Times New Roman" w:cs="Times New Roman"/>
        </w:rPr>
        <w:t>This study employed a quasi-experimental design to determine whether there is a significant difference in Grade 8 students’ skill in solving linear equations in one variable when instruction is delivered through the Gold Standard PBL (GSPBL) model versus the conventional way of teaching.</w:t>
      </w:r>
      <w:r>
        <w:rPr>
          <w:rFonts w:ascii="Times New Roman" w:hAnsi="Times New Roman" w:cs="Times New Roman"/>
        </w:rPr>
        <w:t xml:space="preserve"> </w:t>
      </w:r>
      <w:r w:rsidRPr="007D1237">
        <w:rPr>
          <w:rFonts w:ascii="Times New Roman" w:hAnsi="Times New Roman" w:cs="Times New Roman"/>
        </w:rPr>
        <w:t>In keeping with the logic of quasi-experimentation in a school setting, the design did not rely on random assignment; instead, it used baseline performance to strengthen comparability between groups.</w:t>
      </w:r>
      <w:r>
        <w:rPr>
          <w:rFonts w:ascii="Times New Roman" w:hAnsi="Times New Roman" w:cs="Times New Roman"/>
        </w:rPr>
        <w:t xml:space="preserve"> </w:t>
      </w:r>
      <w:r w:rsidRPr="007D1237">
        <w:rPr>
          <w:rFonts w:ascii="Times New Roman" w:hAnsi="Times New Roman" w:cs="Times New Roman"/>
        </w:rPr>
        <w:t>Specifically, a pretest was administered to the participants and served as the basis for forming two groups—control and experimental—through a matching approach.</w:t>
      </w:r>
      <w:r>
        <w:rPr>
          <w:rFonts w:ascii="Times New Roman" w:hAnsi="Times New Roman" w:cs="Times New Roman"/>
        </w:rPr>
        <w:t xml:space="preserve"> </w:t>
      </w:r>
      <w:r w:rsidRPr="007D1237">
        <w:rPr>
          <w:rFonts w:ascii="Times New Roman" w:hAnsi="Times New Roman" w:cs="Times New Roman"/>
        </w:rPr>
        <w:t xml:space="preserve">Matching was undertaken by pairing students who obtained the same or nearly the same pretest scores and </w:t>
      </w:r>
      <w:proofErr w:type="gramStart"/>
      <w:r w:rsidRPr="007D1237">
        <w:rPr>
          <w:rFonts w:ascii="Times New Roman" w:hAnsi="Times New Roman" w:cs="Times New Roman"/>
        </w:rPr>
        <w:t>distributing</w:t>
      </w:r>
      <w:proofErr w:type="gramEnd"/>
      <w:r w:rsidRPr="007D1237">
        <w:rPr>
          <w:rFonts w:ascii="Times New Roman" w:hAnsi="Times New Roman" w:cs="Times New Roman"/>
        </w:rPr>
        <w:t xml:space="preserve"> these pairs across the two groups to minimize baseline differences prior to the intervention.</w:t>
      </w:r>
      <w:r>
        <w:rPr>
          <w:rFonts w:ascii="Times New Roman" w:hAnsi="Times New Roman" w:cs="Times New Roman"/>
        </w:rPr>
        <w:t xml:space="preserve"> </w:t>
      </w:r>
      <w:r w:rsidRPr="007D1237">
        <w:rPr>
          <w:rFonts w:ascii="Times New Roman" w:hAnsi="Times New Roman" w:cs="Times New Roman"/>
        </w:rPr>
        <w:t>After the grouping procedure, the instructional intervention was implemented according to the assigned method, and a posttest was then administered to determine learners’ performance after exposure to either GSPBL or conventional instruction.</w:t>
      </w:r>
    </w:p>
    <w:p w14:paraId="5246A2F3" w14:textId="77777777" w:rsidR="007D1237" w:rsidRPr="0002171C" w:rsidRDefault="007D1237" w:rsidP="0002171C">
      <w:pPr>
        <w:spacing w:after="0"/>
        <w:rPr>
          <w:rFonts w:ascii="Times New Roman" w:hAnsi="Times New Roman" w:cs="Times New Roman"/>
          <w:lang w:val="en-GB"/>
        </w:rPr>
      </w:pPr>
    </w:p>
    <w:p w14:paraId="2CA2CFFC" w14:textId="552D0799" w:rsidR="0002171C" w:rsidRPr="0002171C" w:rsidRDefault="0002171C" w:rsidP="0002171C">
      <w:pPr>
        <w:spacing w:after="0"/>
        <w:rPr>
          <w:rFonts w:ascii="Times New Roman" w:hAnsi="Times New Roman" w:cs="Times New Roman"/>
          <w:b/>
          <w:bCs/>
          <w:lang w:val="en-GB"/>
        </w:rPr>
      </w:pPr>
      <w:r w:rsidRPr="0002171C">
        <w:rPr>
          <w:rFonts w:ascii="Times New Roman" w:hAnsi="Times New Roman" w:cs="Times New Roman"/>
          <w:b/>
          <w:bCs/>
          <w:lang w:val="en-GB"/>
        </w:rPr>
        <w:t>2.</w:t>
      </w:r>
      <w:r>
        <w:rPr>
          <w:rFonts w:ascii="Times New Roman" w:hAnsi="Times New Roman" w:cs="Times New Roman"/>
          <w:b/>
          <w:bCs/>
          <w:lang w:val="en-GB"/>
        </w:rPr>
        <w:t>2</w:t>
      </w:r>
      <w:r w:rsidR="00A05587">
        <w:rPr>
          <w:rFonts w:ascii="Times New Roman" w:hAnsi="Times New Roman" w:cs="Times New Roman"/>
          <w:b/>
          <w:bCs/>
          <w:lang w:val="en-GB"/>
        </w:rPr>
        <w:t xml:space="preserve"> </w:t>
      </w:r>
      <w:r w:rsidRPr="0002171C">
        <w:rPr>
          <w:rFonts w:ascii="Times New Roman" w:hAnsi="Times New Roman" w:cs="Times New Roman"/>
          <w:b/>
          <w:bCs/>
          <w:lang w:val="en-GB"/>
        </w:rPr>
        <w:t xml:space="preserve">Research Setting </w:t>
      </w:r>
    </w:p>
    <w:p w14:paraId="7D11BDCD" w14:textId="118972FF" w:rsidR="0002171C" w:rsidRPr="007D1237" w:rsidRDefault="007D1237" w:rsidP="007D1237">
      <w:pPr>
        <w:rPr>
          <w:rFonts w:ascii="Times New Roman" w:hAnsi="Times New Roman" w:cs="Times New Roman"/>
        </w:rPr>
      </w:pPr>
      <w:r w:rsidRPr="007D1237">
        <w:rPr>
          <w:rFonts w:ascii="Times New Roman" w:hAnsi="Times New Roman" w:cs="Times New Roman"/>
        </w:rPr>
        <w:t xml:space="preserve">The study was conducted at </w:t>
      </w:r>
      <w:proofErr w:type="spellStart"/>
      <w:r w:rsidRPr="007D1237">
        <w:rPr>
          <w:rFonts w:ascii="Times New Roman" w:hAnsi="Times New Roman" w:cs="Times New Roman"/>
        </w:rPr>
        <w:t>Mahayag</w:t>
      </w:r>
      <w:proofErr w:type="spellEnd"/>
      <w:r w:rsidRPr="007D1237">
        <w:rPr>
          <w:rFonts w:ascii="Times New Roman" w:hAnsi="Times New Roman" w:cs="Times New Roman"/>
        </w:rPr>
        <w:t xml:space="preserve"> National High School (MNHS), located in San Miguel District, Division of Bohol. The school context provided a defined junior high school environment where Grade 8 learners could be accessed and observed under typical instructional conditions. In Academic Year 2024–2025, MNHS recorded a total population of 1,180 enrollees, composed of 843 junior high school and 337 senior high school students, establishing the broader institutional setting from which Grade 8 participants were drawn. Within this locale, the junior high school campus served as the immediate research environment because Grade 8 classes formed the pool from which the study participants were selected and grouped for the instructional comparison. </w:t>
      </w:r>
    </w:p>
    <w:p w14:paraId="2CAB57B6" w14:textId="3B896BF9" w:rsidR="0002171C" w:rsidRPr="0002171C" w:rsidRDefault="0002171C" w:rsidP="0002171C">
      <w:pPr>
        <w:spacing w:after="0"/>
        <w:rPr>
          <w:rFonts w:ascii="Times New Roman" w:hAnsi="Times New Roman" w:cs="Times New Roman"/>
          <w:b/>
          <w:bCs/>
          <w:lang w:val="en-GB"/>
        </w:rPr>
      </w:pPr>
      <w:r w:rsidRPr="0002171C">
        <w:rPr>
          <w:rFonts w:ascii="Times New Roman" w:hAnsi="Times New Roman" w:cs="Times New Roman"/>
          <w:b/>
          <w:bCs/>
          <w:lang w:val="en-GB"/>
        </w:rPr>
        <w:t>2.</w:t>
      </w:r>
      <w:r>
        <w:rPr>
          <w:rFonts w:ascii="Times New Roman" w:hAnsi="Times New Roman" w:cs="Times New Roman"/>
          <w:b/>
          <w:bCs/>
          <w:lang w:val="en-GB"/>
        </w:rPr>
        <w:t>3</w:t>
      </w:r>
      <w:r w:rsidR="00A05587">
        <w:rPr>
          <w:rFonts w:ascii="Times New Roman" w:hAnsi="Times New Roman" w:cs="Times New Roman"/>
          <w:b/>
          <w:bCs/>
          <w:lang w:val="en-GB"/>
        </w:rPr>
        <w:t xml:space="preserve"> </w:t>
      </w:r>
      <w:r w:rsidRPr="0002171C">
        <w:rPr>
          <w:rFonts w:ascii="Times New Roman" w:hAnsi="Times New Roman" w:cs="Times New Roman"/>
          <w:b/>
          <w:bCs/>
          <w:lang w:val="en-GB"/>
        </w:rPr>
        <w:t xml:space="preserve">Respondents </w:t>
      </w:r>
    </w:p>
    <w:p w14:paraId="59F2AA6B" w14:textId="2A056B5A" w:rsidR="00D61879" w:rsidRDefault="007D1237" w:rsidP="0002171C">
      <w:pPr>
        <w:spacing w:after="0"/>
        <w:rPr>
          <w:rFonts w:ascii="Times New Roman" w:hAnsi="Times New Roman" w:cs="Times New Roman"/>
        </w:rPr>
      </w:pPr>
      <w:r w:rsidRPr="007D1237">
        <w:rPr>
          <w:rFonts w:ascii="Times New Roman" w:hAnsi="Times New Roman" w:cs="Times New Roman"/>
        </w:rPr>
        <w:t>The respondents were thirty (30) Grade 8 students from MNHS, selected from approximately one hundred eighty (180) Grade 8 learners, with participation conditioned on parental consent. To ensure ethical participation, the study emphasized voluntariness and clarified that students had the right to decline, withdraw, or discontinue participation at any time without penalty and without any effect on their grades in the subject. Consistent with this, an assent process was used to formalize willingness to participate while maintaining the learners’ freedom to withdraw even after assent had been provided, and withdrawal was explicitly stated to have no impact on students’ grades or their relationship with the researcher. Following recruitment and consent, the respondents took a pretest that functioned as the basis for forming comparable groups. The matched-grouping procedure paired students with the same or nearly the same pretest scores and allocated paired participants evenly into the control and experimental groups, strengthening baseline comparability before the intervention was carried out.</w:t>
      </w:r>
    </w:p>
    <w:p w14:paraId="2CF4208E" w14:textId="77777777" w:rsidR="007D1237" w:rsidRPr="0002171C" w:rsidRDefault="007D1237" w:rsidP="0002171C">
      <w:pPr>
        <w:spacing w:after="0"/>
        <w:rPr>
          <w:rFonts w:ascii="Times New Roman" w:hAnsi="Times New Roman" w:cs="Times New Roman"/>
          <w:lang w:val="en-GB"/>
        </w:rPr>
      </w:pPr>
    </w:p>
    <w:p w14:paraId="65B46443" w14:textId="2599F418" w:rsidR="0002171C" w:rsidRPr="0002171C" w:rsidRDefault="0002171C" w:rsidP="0002171C">
      <w:pPr>
        <w:spacing w:after="0"/>
        <w:rPr>
          <w:rFonts w:ascii="Times New Roman" w:hAnsi="Times New Roman" w:cs="Times New Roman"/>
          <w:b/>
          <w:bCs/>
          <w:lang w:val="en-GB"/>
        </w:rPr>
      </w:pPr>
      <w:r w:rsidRPr="0002171C">
        <w:rPr>
          <w:rFonts w:ascii="Times New Roman" w:hAnsi="Times New Roman" w:cs="Times New Roman"/>
          <w:b/>
          <w:bCs/>
          <w:lang w:val="en-GB"/>
        </w:rPr>
        <w:t>2.</w:t>
      </w:r>
      <w:r>
        <w:rPr>
          <w:rFonts w:ascii="Times New Roman" w:hAnsi="Times New Roman" w:cs="Times New Roman"/>
          <w:b/>
          <w:bCs/>
          <w:lang w:val="en-GB"/>
        </w:rPr>
        <w:t xml:space="preserve">4 </w:t>
      </w:r>
      <w:r w:rsidRPr="0002171C">
        <w:rPr>
          <w:rFonts w:ascii="Times New Roman" w:hAnsi="Times New Roman" w:cs="Times New Roman"/>
          <w:b/>
          <w:bCs/>
          <w:lang w:val="en-GB"/>
        </w:rPr>
        <w:t xml:space="preserve">Research Instruments </w:t>
      </w:r>
    </w:p>
    <w:p w14:paraId="04B82EF7" w14:textId="71B10D12" w:rsidR="0002171C" w:rsidRDefault="00D61879" w:rsidP="0002171C">
      <w:pPr>
        <w:spacing w:after="0"/>
        <w:rPr>
          <w:rFonts w:ascii="Times New Roman" w:hAnsi="Times New Roman" w:cs="Times New Roman"/>
        </w:rPr>
      </w:pPr>
      <w:r w:rsidRPr="00D61879">
        <w:rPr>
          <w:rFonts w:ascii="Times New Roman" w:hAnsi="Times New Roman" w:cs="Times New Roman"/>
        </w:rPr>
        <w:t>Student achievement was measured using a researcher-made 30-item test used for both pretest and posttest administration, designed to assess skills in solving linear equations in one variable. Test preparation included constructing a table of specifications, establishing content validity anchored on the Department of Education Curriculum Guide competencies, and obtaining iterative reviews from a mathematics teacher and a master teacher in mathematics. The instrument underwent pilot testing with Grade 8 students not included in the experiment, followed by item analysis using the index of difficulty and discrimination index, and reliability estimation using the Kuder–Richardson formula based on item score tallies.</w:t>
      </w:r>
      <w:r>
        <w:rPr>
          <w:rFonts w:ascii="Times New Roman" w:hAnsi="Times New Roman" w:cs="Times New Roman"/>
        </w:rPr>
        <w:t xml:space="preserve"> </w:t>
      </w:r>
      <w:r w:rsidRPr="00D61879">
        <w:rPr>
          <w:rFonts w:ascii="Times New Roman" w:hAnsi="Times New Roman" w:cs="Times New Roman"/>
        </w:rPr>
        <w:t xml:space="preserve">Instructional delivery was guided by semi-detailed lesson plans aligned with Grade 8 Mathematics competencies. To strengthen instructional validity, the lesson plans and an accompanying researcher-made lesson plan evaluation instrument were subjected to expert validation. The evaluation criteria were guided by Danielson’s Framework for Teaching (2007), the seven essential project design elements developed by </w:t>
      </w:r>
      <w:proofErr w:type="spellStart"/>
      <w:r w:rsidRPr="00D61879">
        <w:rPr>
          <w:rFonts w:ascii="Times New Roman" w:hAnsi="Times New Roman" w:cs="Times New Roman"/>
        </w:rPr>
        <w:t>PBLWorks</w:t>
      </w:r>
      <w:proofErr w:type="spellEnd"/>
      <w:r w:rsidRPr="00D61879">
        <w:rPr>
          <w:rFonts w:ascii="Times New Roman" w:hAnsi="Times New Roman" w:cs="Times New Roman"/>
        </w:rPr>
        <w:t xml:space="preserve"> (Larmer, </w:t>
      </w:r>
      <w:proofErr w:type="spellStart"/>
      <w:r w:rsidRPr="00D61879">
        <w:rPr>
          <w:rFonts w:ascii="Times New Roman" w:hAnsi="Times New Roman" w:cs="Times New Roman"/>
        </w:rPr>
        <w:t>Mergendoller</w:t>
      </w:r>
      <w:proofErr w:type="spellEnd"/>
      <w:r w:rsidRPr="00D61879">
        <w:rPr>
          <w:rFonts w:ascii="Times New Roman" w:hAnsi="Times New Roman" w:cs="Times New Roman"/>
        </w:rPr>
        <w:t xml:space="preserve">, &amp; Boss, 2015), and principles of constructive alignment and outcomes-based education (Biggs &amp; Tang, 2011). Three content and pedagogy experts independently reviewed the lesson plan using the </w:t>
      </w:r>
      <w:proofErr w:type="gramStart"/>
      <w:r w:rsidRPr="00D61879">
        <w:rPr>
          <w:rFonts w:ascii="Times New Roman" w:hAnsi="Times New Roman" w:cs="Times New Roman"/>
        </w:rPr>
        <w:t>instrument;</w:t>
      </w:r>
      <w:proofErr w:type="gramEnd"/>
      <w:r w:rsidRPr="00D61879">
        <w:rPr>
          <w:rFonts w:ascii="Times New Roman" w:hAnsi="Times New Roman" w:cs="Times New Roman"/>
        </w:rPr>
        <w:t xml:space="preserve"> their ratings and comments informed revisions prior to implementation.</w:t>
      </w:r>
    </w:p>
    <w:p w14:paraId="4C3196F5" w14:textId="77777777" w:rsidR="00D61879" w:rsidRPr="0002171C" w:rsidRDefault="00D61879" w:rsidP="0002171C">
      <w:pPr>
        <w:spacing w:after="0"/>
        <w:rPr>
          <w:rFonts w:ascii="Times New Roman" w:hAnsi="Times New Roman" w:cs="Times New Roman"/>
          <w:lang w:val="en-GB"/>
        </w:rPr>
      </w:pPr>
    </w:p>
    <w:p w14:paraId="48836584" w14:textId="4ACBF9D6" w:rsidR="0002171C" w:rsidRPr="0002171C" w:rsidRDefault="0002171C" w:rsidP="0002171C">
      <w:pPr>
        <w:spacing w:after="0"/>
        <w:rPr>
          <w:rFonts w:ascii="Times New Roman" w:hAnsi="Times New Roman" w:cs="Times New Roman"/>
          <w:b/>
          <w:bCs/>
          <w:lang w:val="en-GB"/>
        </w:rPr>
      </w:pPr>
      <w:r w:rsidRPr="0002171C">
        <w:rPr>
          <w:rFonts w:ascii="Times New Roman" w:hAnsi="Times New Roman" w:cs="Times New Roman"/>
          <w:b/>
          <w:bCs/>
          <w:lang w:val="en-GB"/>
        </w:rPr>
        <w:t>2.</w:t>
      </w:r>
      <w:r>
        <w:rPr>
          <w:rFonts w:ascii="Times New Roman" w:hAnsi="Times New Roman" w:cs="Times New Roman"/>
          <w:b/>
          <w:bCs/>
          <w:lang w:val="en-GB"/>
        </w:rPr>
        <w:t xml:space="preserve">5 </w:t>
      </w:r>
      <w:r w:rsidRPr="0002171C">
        <w:rPr>
          <w:rFonts w:ascii="Times New Roman" w:hAnsi="Times New Roman" w:cs="Times New Roman"/>
          <w:b/>
          <w:bCs/>
          <w:lang w:val="en-GB"/>
        </w:rPr>
        <w:t xml:space="preserve">Data Collection </w:t>
      </w:r>
    </w:p>
    <w:p w14:paraId="64C6EB4F" w14:textId="300D5608" w:rsidR="007D1237" w:rsidRDefault="007D1237" w:rsidP="0002171C">
      <w:pPr>
        <w:spacing w:after="0"/>
        <w:rPr>
          <w:rFonts w:ascii="Times New Roman" w:hAnsi="Times New Roman" w:cs="Times New Roman"/>
        </w:rPr>
      </w:pPr>
      <w:r w:rsidRPr="007D1237">
        <w:rPr>
          <w:rFonts w:ascii="Times New Roman" w:hAnsi="Times New Roman" w:cs="Times New Roman"/>
        </w:rPr>
        <w:t>Approval to conduct the study was secured through a formal request to the school principal. Data collection followed staged implementation: participants’ parents received an orientation covering the study purpose, expected duration, procedures, voluntary participation, withdrawal rights, and confidentiality; student assent procedures were implemented, and students could withdraw at any time without penalty. Prior to the main implementation, the test underwent pilot testing and item analysis using non-participant Grade 8 learners.</w:t>
      </w:r>
      <w:r>
        <w:rPr>
          <w:rFonts w:ascii="Times New Roman" w:hAnsi="Times New Roman" w:cs="Times New Roman"/>
        </w:rPr>
        <w:t xml:space="preserve"> </w:t>
      </w:r>
      <w:r w:rsidRPr="007D1237">
        <w:rPr>
          <w:rFonts w:ascii="Times New Roman" w:hAnsi="Times New Roman" w:cs="Times New Roman"/>
        </w:rPr>
        <w:t xml:space="preserve">The pretest was administered to all participants in one hour, with students allowed to use aliases to protect privacy; pretest results served as the basis for matched grouping. Instruction then proceeded with both groups covering the same topic but using different approaches: the control group received conventional </w:t>
      </w:r>
      <w:r w:rsidRPr="007D1237">
        <w:rPr>
          <w:rFonts w:ascii="Times New Roman" w:hAnsi="Times New Roman" w:cs="Times New Roman"/>
        </w:rPr>
        <w:lastRenderedPageBreak/>
        <w:t>instruction emphasizing objective-setting, concept discussion with step-by-step examples, and exercises; the experimental group received instruction using the Gold Standard PBL model elements, including opportunities for students to choose how to present solutions and engage in reflection, critique, revision, and presentation of outputs. After the intervention sessions, the posttest (a rearranged version of the pretest items) was administered to both groups within one hour, and results were gathered, tallied, tabulated, and prepared for statistical treatment and interpretation.</w:t>
      </w:r>
    </w:p>
    <w:p w14:paraId="703CE31C" w14:textId="3E3E190E" w:rsidR="0002171C" w:rsidRPr="0002171C" w:rsidRDefault="0002171C" w:rsidP="0002171C">
      <w:pPr>
        <w:spacing w:after="0"/>
        <w:rPr>
          <w:rFonts w:ascii="Times New Roman" w:hAnsi="Times New Roman" w:cs="Times New Roman"/>
          <w:b/>
          <w:bCs/>
          <w:lang w:val="en-GB"/>
        </w:rPr>
      </w:pPr>
      <w:r>
        <w:rPr>
          <w:rFonts w:ascii="Times New Roman" w:hAnsi="Times New Roman" w:cs="Times New Roman"/>
          <w:b/>
          <w:bCs/>
          <w:lang w:val="en-GB"/>
        </w:rPr>
        <w:br/>
      </w:r>
      <w:r w:rsidRPr="0002171C">
        <w:rPr>
          <w:rFonts w:ascii="Times New Roman" w:hAnsi="Times New Roman" w:cs="Times New Roman"/>
          <w:b/>
          <w:bCs/>
          <w:lang w:val="en-GB"/>
        </w:rPr>
        <w:t>2.</w:t>
      </w:r>
      <w:r>
        <w:rPr>
          <w:rFonts w:ascii="Times New Roman" w:hAnsi="Times New Roman" w:cs="Times New Roman"/>
          <w:b/>
          <w:bCs/>
          <w:lang w:val="en-GB"/>
        </w:rPr>
        <w:t xml:space="preserve">6 </w:t>
      </w:r>
      <w:r w:rsidRPr="0002171C">
        <w:rPr>
          <w:rFonts w:ascii="Times New Roman" w:hAnsi="Times New Roman" w:cs="Times New Roman"/>
          <w:b/>
          <w:bCs/>
          <w:lang w:val="en-GB"/>
        </w:rPr>
        <w:t xml:space="preserve">Data Analysis </w:t>
      </w:r>
    </w:p>
    <w:p w14:paraId="3F48EB7C" w14:textId="467A1D9F" w:rsidR="0002171C" w:rsidRDefault="007D1237" w:rsidP="0002171C">
      <w:pPr>
        <w:spacing w:after="0"/>
        <w:rPr>
          <w:rFonts w:ascii="Times New Roman" w:hAnsi="Times New Roman" w:cs="Times New Roman"/>
        </w:rPr>
      </w:pPr>
      <w:r w:rsidRPr="007D1237">
        <w:rPr>
          <w:rFonts w:ascii="Times New Roman" w:hAnsi="Times New Roman" w:cs="Times New Roman"/>
        </w:rPr>
        <w:t>Test development data were analyzed through item analysis using the index of difficulty and discrimination index, while test reliability was estimated using the Kuder–Richardson formula based on item-level score tallies. For outcome analysis, pretest and posttest scores were collected, tallied, and tabulated to support statistical treatment and interpretation of performance patterns within and between the control and experimental groups.</w:t>
      </w:r>
    </w:p>
    <w:p w14:paraId="6BABF405" w14:textId="77777777" w:rsidR="007D1237" w:rsidRDefault="007D1237" w:rsidP="0002171C">
      <w:pPr>
        <w:spacing w:after="0"/>
        <w:rPr>
          <w:rFonts w:ascii="Times New Roman" w:hAnsi="Times New Roman" w:cs="Times New Roman"/>
          <w:b/>
          <w:bCs/>
          <w:lang w:val="en-GB"/>
        </w:rPr>
      </w:pPr>
    </w:p>
    <w:p w14:paraId="6DF21C35" w14:textId="2D986354" w:rsidR="0002171C" w:rsidRPr="0002171C" w:rsidRDefault="0002171C" w:rsidP="0002171C">
      <w:pPr>
        <w:spacing w:after="0"/>
        <w:rPr>
          <w:rFonts w:ascii="Times New Roman" w:hAnsi="Times New Roman" w:cs="Times New Roman"/>
          <w:b/>
          <w:bCs/>
          <w:lang w:val="en-GB"/>
        </w:rPr>
      </w:pPr>
      <w:r w:rsidRPr="0002171C">
        <w:rPr>
          <w:rFonts w:ascii="Times New Roman" w:hAnsi="Times New Roman" w:cs="Times New Roman"/>
          <w:b/>
          <w:bCs/>
          <w:lang w:val="en-GB"/>
        </w:rPr>
        <w:t>2.</w:t>
      </w:r>
      <w:r>
        <w:rPr>
          <w:rFonts w:ascii="Times New Roman" w:hAnsi="Times New Roman" w:cs="Times New Roman"/>
          <w:b/>
          <w:bCs/>
          <w:lang w:val="en-GB"/>
        </w:rPr>
        <w:t xml:space="preserve">7 </w:t>
      </w:r>
      <w:r w:rsidRPr="0002171C">
        <w:rPr>
          <w:rFonts w:ascii="Times New Roman" w:hAnsi="Times New Roman" w:cs="Times New Roman"/>
          <w:b/>
          <w:bCs/>
          <w:lang w:val="en-GB"/>
        </w:rPr>
        <w:t xml:space="preserve">Ethical Considerations </w:t>
      </w:r>
    </w:p>
    <w:p w14:paraId="7B588457" w14:textId="2C91BEA7" w:rsidR="007D1237" w:rsidRDefault="007D1237" w:rsidP="0002171C">
      <w:pPr>
        <w:spacing w:after="0"/>
        <w:rPr>
          <w:rFonts w:ascii="Times New Roman" w:hAnsi="Times New Roman" w:cs="Times New Roman"/>
          <w:lang w:val="en-GB"/>
        </w:rPr>
      </w:pPr>
      <w:r w:rsidRPr="007D1237">
        <w:rPr>
          <w:rFonts w:ascii="Times New Roman" w:hAnsi="Times New Roman" w:cs="Times New Roman"/>
        </w:rPr>
        <w:t>Ethical safeguards included obtaining school approval, orienting parents on the purpose and procedures of the study, securing student assent, and emphasizing voluntary participation with the right to decline, withdraw, or discontinue at any time without penalty or grade impact. Confidentiality protections included discussing limits of confidentiality, maintaining anonymity of responses, allowing aliases on answer sheets, and restricting access to records to ensure data were kept private unless authorized permission was required.</w:t>
      </w:r>
    </w:p>
    <w:p w14:paraId="6F5436FF" w14:textId="71D56D9F" w:rsidR="006E25F2" w:rsidRPr="006E25F2" w:rsidRDefault="008A59B2" w:rsidP="000B4B31">
      <w:pPr>
        <w:pStyle w:val="Heading1"/>
      </w:pPr>
      <w:r w:rsidRPr="009B379E">
        <w:t>Results</w:t>
      </w:r>
      <w:r w:rsidR="00D216E8" w:rsidRPr="009B379E">
        <w:t xml:space="preserve"> and </w:t>
      </w:r>
      <w:r w:rsidR="00FC4F29">
        <w:t>D</w:t>
      </w:r>
      <w:r w:rsidR="00D216E8" w:rsidRPr="009B379E">
        <w:t>iscussion</w:t>
      </w:r>
      <w:r w:rsidR="000F4111" w:rsidRPr="009B379E">
        <w:t xml:space="preserve"> </w:t>
      </w:r>
    </w:p>
    <w:p w14:paraId="54268BC1" w14:textId="73F9342B" w:rsidR="0002171C" w:rsidRPr="0002171C" w:rsidRDefault="007D1237" w:rsidP="000B4B31">
      <w:pPr>
        <w:pStyle w:val="Heading2"/>
        <w:spacing w:before="0" w:after="0"/>
        <w:rPr>
          <w:rFonts w:ascii="Times New Roman" w:hAnsi="Times New Roman"/>
        </w:rPr>
      </w:pPr>
      <w:r w:rsidRPr="007D1237">
        <w:rPr>
          <w:rFonts w:ascii="Times New Roman" w:hAnsi="Times New Roman"/>
        </w:rPr>
        <w:t>Main Findings: Students’ Performance in Solving Linear Equations in One Variable</w:t>
      </w:r>
    </w:p>
    <w:p w14:paraId="4D1C8C06" w14:textId="77777777" w:rsidR="007D1237" w:rsidRPr="007D1237" w:rsidRDefault="007D1237" w:rsidP="00E26D99">
      <w:pPr>
        <w:spacing w:after="0"/>
        <w:ind w:firstLine="720"/>
        <w:rPr>
          <w:rFonts w:ascii="Times New Roman" w:eastAsia="Times New Roman" w:hAnsi="Times New Roman" w:cs="Times New Roman"/>
          <w:b/>
          <w:bCs/>
          <w:color w:val="000000"/>
          <w:kern w:val="2"/>
          <w:sz w:val="18"/>
          <w:szCs w:val="24"/>
          <w:lang w:val="en-PH"/>
          <w14:ligatures w14:val="standardContextual"/>
        </w:rPr>
      </w:pPr>
      <w:r w:rsidRPr="007D1237">
        <w:rPr>
          <w:rFonts w:ascii="Times New Roman" w:eastAsia="Times New Roman" w:hAnsi="Times New Roman" w:cs="Times New Roman"/>
          <w:b/>
          <w:bCs/>
          <w:color w:val="000000"/>
          <w:kern w:val="2"/>
          <w:sz w:val="18"/>
          <w:szCs w:val="24"/>
          <w:lang w:val="en-PH"/>
          <w14:ligatures w14:val="standardContextual"/>
        </w:rPr>
        <w:t>3.1.1 Pre-test Performance of the Control and Experimental Groups</w:t>
      </w:r>
    </w:p>
    <w:p w14:paraId="2FF64E2D" w14:textId="1F947CC4" w:rsidR="00E26D99" w:rsidRPr="00E26D99" w:rsidRDefault="00E26D99" w:rsidP="00E26D99">
      <w:pPr>
        <w:spacing w:after="0"/>
        <w:rPr>
          <w:rFonts w:ascii="Times New Roman" w:eastAsia="Times New Roman" w:hAnsi="Times New Roman" w:cs="Times New Roman"/>
          <w:color w:val="000000"/>
          <w:kern w:val="2"/>
          <w:sz w:val="18"/>
          <w:szCs w:val="24"/>
          <w:lang w:val="en-PH"/>
          <w14:ligatures w14:val="standardContextual"/>
        </w:rPr>
      </w:pPr>
      <w:r w:rsidRPr="00E26D99">
        <w:rPr>
          <w:rFonts w:ascii="Times New Roman" w:eastAsia="Times New Roman" w:hAnsi="Times New Roman" w:cs="Times New Roman"/>
          <w:color w:val="000000"/>
          <w:kern w:val="2"/>
          <w:sz w:val="18"/>
          <w:szCs w:val="24"/>
          <w:lang w:val="en-PH"/>
          <w14:ligatures w14:val="standardContextual"/>
        </w:rPr>
        <w:t>The pre-test results indicated a uniformly low baseline performance in solving linear equations in one variable. All learners in both the control group and the experimental group were classified under “Below 75” (Did Not Meet Expectations), with 15 students (100%) in each group falling within this bracket. Consistent with this distribution, both groups obtained the same descriptive average score of 41, indicating that neither group entered the intervention with a measurable advantage in initial competency.</w:t>
      </w:r>
      <w:r>
        <w:rPr>
          <w:rFonts w:ascii="Times New Roman" w:eastAsia="Times New Roman" w:hAnsi="Times New Roman" w:cs="Times New Roman"/>
          <w:color w:val="000000"/>
          <w:kern w:val="2"/>
          <w:sz w:val="18"/>
          <w:szCs w:val="24"/>
          <w:lang w:val="en-PH"/>
          <w14:ligatures w14:val="standardContextual"/>
        </w:rPr>
        <w:t xml:space="preserve"> </w:t>
      </w:r>
      <w:r w:rsidRPr="00E26D99">
        <w:rPr>
          <w:rFonts w:ascii="Times New Roman" w:eastAsia="Times New Roman" w:hAnsi="Times New Roman" w:cs="Times New Roman"/>
          <w:color w:val="000000"/>
          <w:kern w:val="2"/>
          <w:sz w:val="18"/>
          <w:szCs w:val="24"/>
          <w:lang w:val="en-PH"/>
          <w14:ligatures w14:val="standardContextual"/>
        </w:rPr>
        <w:t>The homogeneity of pre-test performance provides two important methodological implications for the study. First, it confirms that the target competency was generally weak among the participating Grade 8 learners at the outset, suggesting that foundational understanding and procedural fluency for linear equations were still developing. Second, the identical baseline performance strengthens the credibility of the between-group comparison because the matched-group procedure—pairing students with the same or nearly the same pre-test scores—appears to have successfully produced comparable groups. With baseline comparability supported by both distributional results (100% below proficiency in each group) and the identical average score, subsequent performance changes can be interpreted more defensibly as being associated with instructional exposure rather than pre-existing group differences.</w:t>
      </w:r>
    </w:p>
    <w:p w14:paraId="16E85DB5" w14:textId="77777777" w:rsidR="00E26D99" w:rsidRDefault="00E26D99" w:rsidP="00E26D99">
      <w:pPr>
        <w:spacing w:after="0"/>
        <w:ind w:firstLine="720"/>
        <w:rPr>
          <w:rFonts w:ascii="Times New Roman" w:eastAsia="Times New Roman" w:hAnsi="Times New Roman" w:cs="Times New Roman"/>
          <w:b/>
          <w:bCs/>
          <w:color w:val="000000"/>
          <w:kern w:val="2"/>
          <w:sz w:val="18"/>
          <w:szCs w:val="24"/>
          <w14:ligatures w14:val="standardContextual"/>
        </w:rPr>
      </w:pPr>
    </w:p>
    <w:p w14:paraId="3E8A4902" w14:textId="4E0452C6" w:rsidR="00E26D99" w:rsidRPr="00E26D99" w:rsidRDefault="00E26D99" w:rsidP="00E26D99">
      <w:pPr>
        <w:spacing w:after="0"/>
        <w:ind w:firstLine="720"/>
        <w:rPr>
          <w:rFonts w:ascii="Times New Roman" w:eastAsia="Times New Roman" w:hAnsi="Times New Roman" w:cs="Times New Roman"/>
          <w:b/>
          <w:bCs/>
          <w:color w:val="000000"/>
          <w:kern w:val="2"/>
          <w:sz w:val="18"/>
          <w:szCs w:val="24"/>
          <w14:ligatures w14:val="standardContextual"/>
        </w:rPr>
      </w:pPr>
      <w:r w:rsidRPr="00E26D99">
        <w:rPr>
          <w:rFonts w:ascii="Times New Roman" w:eastAsia="Times New Roman" w:hAnsi="Times New Roman" w:cs="Times New Roman"/>
          <w:b/>
          <w:bCs/>
          <w:color w:val="000000"/>
          <w:kern w:val="2"/>
          <w:sz w:val="18"/>
          <w:szCs w:val="24"/>
          <w14:ligatures w14:val="standardContextual"/>
        </w:rPr>
        <w:t>3.1.2 Post-test Performance of the Control and Experimental Groups</w:t>
      </w:r>
    </w:p>
    <w:p w14:paraId="7FF1BB7A" w14:textId="43BDDFD6" w:rsidR="00E26D99" w:rsidRPr="00E26D99" w:rsidRDefault="00E26D99" w:rsidP="00E26D99">
      <w:pPr>
        <w:spacing w:after="0"/>
        <w:rPr>
          <w:rFonts w:ascii="Times New Roman" w:eastAsia="Times New Roman" w:hAnsi="Times New Roman" w:cs="Times New Roman"/>
          <w:color w:val="000000"/>
          <w:kern w:val="2"/>
          <w:sz w:val="18"/>
          <w:szCs w:val="24"/>
          <w:lang w:val="en-PH"/>
          <w14:ligatures w14:val="standardContextual"/>
        </w:rPr>
      </w:pPr>
      <w:r w:rsidRPr="00E26D99">
        <w:rPr>
          <w:rFonts w:ascii="Times New Roman" w:eastAsia="Times New Roman" w:hAnsi="Times New Roman" w:cs="Times New Roman"/>
          <w:color w:val="000000"/>
          <w:kern w:val="2"/>
          <w:sz w:val="18"/>
          <w:szCs w:val="24"/>
          <w:lang w:val="en-PH"/>
          <w14:ligatures w14:val="standardContextual"/>
        </w:rPr>
        <w:t>Post-test results showed improvement in both groups, although performance largely remained below the proficiency benchmark. In the control group, 10 students (67%) still fell under “Below 75,” while 5 students (33%) reached “75–79” (Fairly Satisfactory). In the experimental group, 13 students (87%) remained “Below 75,” and 2 students (13%) reached “75–79.” The descriptive average scores increased to 57 for the control group and 55 for the experimental group; however, both averages remained within the “Did Not Meet Expectations” category.</w:t>
      </w:r>
      <w:r>
        <w:rPr>
          <w:rFonts w:ascii="Times New Roman" w:eastAsia="Times New Roman" w:hAnsi="Times New Roman" w:cs="Times New Roman"/>
          <w:color w:val="000000"/>
          <w:kern w:val="2"/>
          <w:sz w:val="18"/>
          <w:szCs w:val="24"/>
          <w:lang w:val="en-PH"/>
          <w14:ligatures w14:val="standardContextual"/>
        </w:rPr>
        <w:t xml:space="preserve"> </w:t>
      </w:r>
      <w:r w:rsidRPr="00E26D99">
        <w:rPr>
          <w:rFonts w:ascii="Times New Roman" w:eastAsia="Times New Roman" w:hAnsi="Times New Roman" w:cs="Times New Roman"/>
          <w:color w:val="000000"/>
          <w:kern w:val="2"/>
          <w:sz w:val="18"/>
          <w:szCs w:val="24"/>
          <w:lang w:val="en-PH"/>
          <w14:ligatures w14:val="standardContextual"/>
        </w:rPr>
        <w:t xml:space="preserve">The post-test pattern indicates that both instructional approaches supported measurable learning gains, but the magnitude of improvement was insufficient to shift most learners into satisfactory performance levels under the study’s conditions. The fact that only a minority of students reached the “Fairly Satisfactory” level suggests that students may have gained partial procedural competence without consistently achieving mastery across the assessed skill set. This outcome mirrors the pattern reported by Egbe and </w:t>
      </w:r>
      <w:proofErr w:type="spellStart"/>
      <w:r w:rsidRPr="00E26D99">
        <w:rPr>
          <w:rFonts w:ascii="Times New Roman" w:eastAsia="Times New Roman" w:hAnsi="Times New Roman" w:cs="Times New Roman"/>
          <w:color w:val="000000"/>
          <w:kern w:val="2"/>
          <w:sz w:val="18"/>
          <w:szCs w:val="24"/>
          <w:lang w:val="en-PH"/>
          <w14:ligatures w14:val="standardContextual"/>
        </w:rPr>
        <w:t>Anyaegbunnam</w:t>
      </w:r>
      <w:proofErr w:type="spellEnd"/>
      <w:r w:rsidRPr="00E26D99">
        <w:rPr>
          <w:rFonts w:ascii="Times New Roman" w:eastAsia="Times New Roman" w:hAnsi="Times New Roman" w:cs="Times New Roman"/>
          <w:color w:val="000000"/>
          <w:kern w:val="2"/>
          <w:sz w:val="18"/>
          <w:szCs w:val="24"/>
          <w:lang w:val="en-PH"/>
          <w14:ligatures w14:val="standardContextual"/>
        </w:rPr>
        <w:t xml:space="preserve"> (2017), where both experimental and control groups improved from pre-test to post-test, yet overall performance still did not reach the desired </w:t>
      </w:r>
      <w:proofErr w:type="gramStart"/>
      <w:r w:rsidRPr="00E26D99">
        <w:rPr>
          <w:rFonts w:ascii="Times New Roman" w:eastAsia="Times New Roman" w:hAnsi="Times New Roman" w:cs="Times New Roman"/>
          <w:color w:val="000000"/>
          <w:kern w:val="2"/>
          <w:sz w:val="18"/>
          <w:szCs w:val="24"/>
          <w:lang w:val="en-PH"/>
          <w14:ligatures w14:val="standardContextual"/>
        </w:rPr>
        <w:t>proficiency</w:t>
      </w:r>
      <w:proofErr w:type="gramEnd"/>
      <w:r w:rsidRPr="00E26D99">
        <w:rPr>
          <w:rFonts w:ascii="Times New Roman" w:eastAsia="Times New Roman" w:hAnsi="Times New Roman" w:cs="Times New Roman"/>
          <w:color w:val="000000"/>
          <w:kern w:val="2"/>
          <w:sz w:val="18"/>
          <w:szCs w:val="24"/>
          <w:lang w:val="en-PH"/>
          <w14:ligatures w14:val="standardContextual"/>
        </w:rPr>
        <w:t xml:space="preserve"> and the between-group difference was not statistically significant. In this context, the results can be interpreted as evidence that instructional exposure—whether conventional or GSPBL—contributed to improvement, but additional instructional time, reinforcement, or targeted remediation may be required for more substantial movement toward proficiency, especially for students beginning from a very low baseline.</w:t>
      </w:r>
    </w:p>
    <w:p w14:paraId="338629CA" w14:textId="77777777" w:rsidR="007D1237" w:rsidRDefault="007D1237" w:rsidP="0002171C">
      <w:pPr>
        <w:spacing w:after="0"/>
        <w:jc w:val="left"/>
        <w:rPr>
          <w:rFonts w:ascii="Times New Roman" w:eastAsia="Times New Roman" w:hAnsi="Times New Roman" w:cs="Times New Roman"/>
          <w:color w:val="000000"/>
          <w:kern w:val="2"/>
          <w:sz w:val="18"/>
          <w:szCs w:val="24"/>
          <w14:ligatures w14:val="standardContextual"/>
        </w:rPr>
      </w:pPr>
    </w:p>
    <w:p w14:paraId="3B585B17" w14:textId="745F8BA3" w:rsidR="007D1237" w:rsidRPr="00E26D99" w:rsidRDefault="00E26D99" w:rsidP="0002171C">
      <w:pPr>
        <w:spacing w:after="0"/>
        <w:jc w:val="left"/>
        <w:rPr>
          <w:rFonts w:ascii="Times New Roman" w:eastAsia="Times New Roman" w:hAnsi="Times New Roman" w:cs="Times New Roman"/>
          <w:b/>
          <w:bCs/>
          <w:color w:val="000000"/>
          <w:kern w:val="2"/>
          <w:sz w:val="18"/>
          <w:szCs w:val="24"/>
          <w14:ligatures w14:val="standardContextual"/>
        </w:rPr>
      </w:pPr>
      <w:r w:rsidRPr="00E26D99">
        <w:rPr>
          <w:rFonts w:ascii="Times New Roman" w:eastAsia="Times New Roman" w:hAnsi="Times New Roman" w:cs="Times New Roman"/>
          <w:b/>
          <w:bCs/>
          <w:color w:val="000000"/>
          <w:kern w:val="2"/>
          <w:sz w:val="18"/>
          <w:szCs w:val="24"/>
          <w14:ligatures w14:val="standardContextual"/>
        </w:rPr>
        <w:t>3.2 Differences in Performance Within and Between Groups</w:t>
      </w:r>
    </w:p>
    <w:p w14:paraId="6EEAA5D0" w14:textId="107CD8DD" w:rsidR="00E26D99" w:rsidRPr="00E26D99" w:rsidRDefault="00E26D99" w:rsidP="00E26D99">
      <w:pPr>
        <w:spacing w:after="0"/>
        <w:ind w:firstLine="720"/>
        <w:jc w:val="left"/>
        <w:rPr>
          <w:rFonts w:ascii="Times New Roman" w:eastAsia="Times New Roman" w:hAnsi="Times New Roman" w:cs="Times New Roman"/>
          <w:b/>
          <w:bCs/>
          <w:color w:val="000000"/>
          <w:kern w:val="2"/>
          <w:sz w:val="18"/>
          <w:szCs w:val="24"/>
          <w14:ligatures w14:val="standardContextual"/>
        </w:rPr>
      </w:pPr>
      <w:r w:rsidRPr="00E26D99">
        <w:rPr>
          <w:rFonts w:ascii="Times New Roman" w:eastAsia="Times New Roman" w:hAnsi="Times New Roman" w:cs="Times New Roman"/>
          <w:b/>
          <w:bCs/>
          <w:color w:val="000000"/>
          <w:kern w:val="2"/>
          <w:sz w:val="18"/>
          <w:szCs w:val="24"/>
          <w14:ligatures w14:val="standardContextual"/>
        </w:rPr>
        <w:t>3.2.1 Difference Between the Pre-test Results of the Two Groups</w:t>
      </w:r>
    </w:p>
    <w:p w14:paraId="02CD2163" w14:textId="4695713A" w:rsidR="007D1237" w:rsidRDefault="00E26D99" w:rsidP="00E26D99">
      <w:pPr>
        <w:spacing w:after="0"/>
        <w:rPr>
          <w:rFonts w:ascii="Times New Roman" w:eastAsia="Times New Roman" w:hAnsi="Times New Roman" w:cs="Times New Roman"/>
          <w:color w:val="000000"/>
          <w:kern w:val="2"/>
          <w:sz w:val="18"/>
          <w:szCs w:val="24"/>
          <w14:ligatures w14:val="standardContextual"/>
        </w:rPr>
      </w:pPr>
      <w:r w:rsidRPr="00E26D99">
        <w:rPr>
          <w:rFonts w:ascii="Times New Roman" w:eastAsia="Times New Roman" w:hAnsi="Times New Roman" w:cs="Times New Roman"/>
          <w:color w:val="000000"/>
          <w:kern w:val="2"/>
          <w:sz w:val="18"/>
          <w:szCs w:val="24"/>
          <w14:ligatures w14:val="standardContextual"/>
        </w:rPr>
        <w:t xml:space="preserve">Statistical comparison of the groups’ pre-test performance showed identical mean scores of 12.2 for both groups, with standard deviations of 2.68 (control) and 2.86 (experimental). The computed t-value was 0 and the P-value was 1, which exceeded the 0.05 level of significance. The null hypothesis was therefore accepted, indicating no statistically significant difference between the groups prior to the intervention. The absence of a significant pre-test difference is a critical condition for a quasi-experimental comparison because it strengthens internal validity by supporting equivalence at baseline. In practical terms, this result reinforces the descriptive findings that both groups began at essentially the same level of competence. Consequently, any post-intervention </w:t>
      </w:r>
      <w:proofErr w:type="gramStart"/>
      <w:r w:rsidRPr="00E26D99">
        <w:rPr>
          <w:rFonts w:ascii="Times New Roman" w:eastAsia="Times New Roman" w:hAnsi="Times New Roman" w:cs="Times New Roman"/>
          <w:color w:val="000000"/>
          <w:kern w:val="2"/>
          <w:sz w:val="18"/>
          <w:szCs w:val="24"/>
          <w14:ligatures w14:val="standardContextual"/>
        </w:rPr>
        <w:t>differences—</w:t>
      </w:r>
      <w:proofErr w:type="gramEnd"/>
      <w:r w:rsidRPr="00E26D99">
        <w:rPr>
          <w:rFonts w:ascii="Times New Roman" w:eastAsia="Times New Roman" w:hAnsi="Times New Roman" w:cs="Times New Roman"/>
          <w:color w:val="000000"/>
          <w:kern w:val="2"/>
          <w:sz w:val="18"/>
          <w:szCs w:val="24"/>
          <w14:ligatures w14:val="standardContextual"/>
        </w:rPr>
        <w:t>or the absence of such differences—can be interpreted more confidently as a function of instructional exposure rather than an artifact of unequal starting points.</w:t>
      </w:r>
    </w:p>
    <w:p w14:paraId="6E259D4D" w14:textId="77777777" w:rsidR="00E26D99" w:rsidRDefault="00E26D99" w:rsidP="0002171C">
      <w:pPr>
        <w:spacing w:after="0"/>
        <w:jc w:val="left"/>
        <w:rPr>
          <w:rFonts w:ascii="Times New Roman" w:eastAsia="Times New Roman" w:hAnsi="Times New Roman" w:cs="Times New Roman"/>
          <w:color w:val="000000"/>
          <w:kern w:val="2"/>
          <w:sz w:val="18"/>
          <w:szCs w:val="24"/>
          <w14:ligatures w14:val="standardContextual"/>
        </w:rPr>
      </w:pPr>
    </w:p>
    <w:p w14:paraId="2B0164E7" w14:textId="77777777" w:rsidR="00E26D99" w:rsidRPr="00E26D99" w:rsidRDefault="00E26D99" w:rsidP="00E26D99">
      <w:pPr>
        <w:spacing w:after="0"/>
        <w:ind w:firstLine="720"/>
        <w:rPr>
          <w:rFonts w:ascii="Times New Roman" w:eastAsia="Times New Roman" w:hAnsi="Times New Roman" w:cs="Times New Roman"/>
          <w:b/>
          <w:bCs/>
          <w:color w:val="000000"/>
          <w:kern w:val="2"/>
          <w:sz w:val="18"/>
          <w:szCs w:val="24"/>
          <w14:ligatures w14:val="standardContextual"/>
        </w:rPr>
      </w:pPr>
      <w:r w:rsidRPr="00E26D99">
        <w:rPr>
          <w:rFonts w:ascii="Times New Roman" w:eastAsia="Times New Roman" w:hAnsi="Times New Roman" w:cs="Times New Roman"/>
          <w:b/>
          <w:bCs/>
          <w:color w:val="000000"/>
          <w:kern w:val="2"/>
          <w:sz w:val="18"/>
          <w:szCs w:val="24"/>
          <w14:ligatures w14:val="standardContextual"/>
        </w:rPr>
        <w:t>3.2.2 Difference Between the Pre-test and Post-test Results of the Control Group</w:t>
      </w:r>
    </w:p>
    <w:p w14:paraId="5068B673" w14:textId="6BF819CE" w:rsidR="00E26D99" w:rsidRPr="00E26D99" w:rsidRDefault="00E26D99" w:rsidP="00E26D99">
      <w:pPr>
        <w:spacing w:after="0"/>
        <w:rPr>
          <w:rFonts w:ascii="Times New Roman" w:eastAsia="Times New Roman" w:hAnsi="Times New Roman" w:cs="Times New Roman"/>
          <w:color w:val="000000"/>
          <w:kern w:val="2"/>
          <w:sz w:val="18"/>
          <w:szCs w:val="24"/>
          <w:lang w:val="en-PH"/>
          <w14:ligatures w14:val="standardContextual"/>
        </w:rPr>
      </w:pPr>
      <w:r w:rsidRPr="00E26D99">
        <w:rPr>
          <w:rFonts w:ascii="Times New Roman" w:eastAsia="Times New Roman" w:hAnsi="Times New Roman" w:cs="Times New Roman"/>
          <w:color w:val="000000"/>
          <w:kern w:val="2"/>
          <w:sz w:val="18"/>
          <w:szCs w:val="24"/>
          <w:lang w:val="en-PH"/>
          <w14:ligatures w14:val="standardContextual"/>
        </w:rPr>
        <w:t>For the control group, mean performance increased from 12.2 (SD = 2.68) in the pre-test to 17 (SD = 4.38) in the post-test, yielding a mean difference of 4.8. The computed t-value was -4.58 and the P-value was 0.0004, which is less than 0.05. The null hypothesis was rejected, indicating a statistically significant improvement in the control group.</w:t>
      </w:r>
      <w:r>
        <w:rPr>
          <w:rFonts w:ascii="Times New Roman" w:eastAsia="Times New Roman" w:hAnsi="Times New Roman" w:cs="Times New Roman"/>
          <w:color w:val="000000"/>
          <w:kern w:val="2"/>
          <w:sz w:val="18"/>
          <w:szCs w:val="24"/>
          <w:lang w:val="en-PH"/>
          <w14:ligatures w14:val="standardContextual"/>
        </w:rPr>
        <w:t xml:space="preserve"> </w:t>
      </w:r>
      <w:r w:rsidRPr="00E26D99">
        <w:rPr>
          <w:rFonts w:ascii="Times New Roman" w:eastAsia="Times New Roman" w:hAnsi="Times New Roman" w:cs="Times New Roman"/>
          <w:color w:val="000000"/>
          <w:kern w:val="2"/>
          <w:sz w:val="18"/>
          <w:szCs w:val="24"/>
          <w:lang w:val="en-PH"/>
          <w14:ligatures w14:val="standardContextual"/>
        </w:rPr>
        <w:t xml:space="preserve">The significant gain in the control group suggests that conventional instruction was effective in improving students’ ability to solve linear equations in one variable, at least within the measured timeframe and assessment conditions. This finding is consistent with </w:t>
      </w:r>
      <w:proofErr w:type="spellStart"/>
      <w:r w:rsidRPr="00E26D99">
        <w:rPr>
          <w:rFonts w:ascii="Times New Roman" w:eastAsia="Times New Roman" w:hAnsi="Times New Roman" w:cs="Times New Roman"/>
          <w:color w:val="000000"/>
          <w:kern w:val="2"/>
          <w:sz w:val="18"/>
          <w:szCs w:val="24"/>
          <w:lang w:val="en-PH"/>
          <w14:ligatures w14:val="standardContextual"/>
        </w:rPr>
        <w:t>Karjanto</w:t>
      </w:r>
      <w:proofErr w:type="spellEnd"/>
      <w:r w:rsidRPr="00E26D99">
        <w:rPr>
          <w:rFonts w:ascii="Times New Roman" w:eastAsia="Times New Roman" w:hAnsi="Times New Roman" w:cs="Times New Roman"/>
          <w:color w:val="000000"/>
          <w:kern w:val="2"/>
          <w:sz w:val="18"/>
          <w:szCs w:val="24"/>
          <w:lang w:val="en-PH"/>
          <w14:ligatures w14:val="standardContextual"/>
        </w:rPr>
        <w:t xml:space="preserve"> and </w:t>
      </w:r>
      <w:proofErr w:type="spellStart"/>
      <w:r w:rsidRPr="00E26D99">
        <w:rPr>
          <w:rFonts w:ascii="Times New Roman" w:eastAsia="Times New Roman" w:hAnsi="Times New Roman" w:cs="Times New Roman"/>
          <w:color w:val="000000"/>
          <w:kern w:val="2"/>
          <w:sz w:val="18"/>
          <w:szCs w:val="24"/>
          <w:lang w:val="en-PH"/>
          <w14:ligatures w14:val="standardContextual"/>
        </w:rPr>
        <w:t>Acelajado</w:t>
      </w:r>
      <w:proofErr w:type="spellEnd"/>
      <w:r w:rsidRPr="00E26D99">
        <w:rPr>
          <w:rFonts w:ascii="Times New Roman" w:eastAsia="Times New Roman" w:hAnsi="Times New Roman" w:cs="Times New Roman"/>
          <w:color w:val="000000"/>
          <w:kern w:val="2"/>
          <w:sz w:val="18"/>
          <w:szCs w:val="24"/>
          <w:lang w:val="en-PH"/>
          <w14:ligatures w14:val="standardContextual"/>
        </w:rPr>
        <w:t xml:space="preserve"> (2022), where students exposed to </w:t>
      </w:r>
      <w:r w:rsidRPr="00E26D99">
        <w:rPr>
          <w:rFonts w:ascii="Times New Roman" w:eastAsia="Times New Roman" w:hAnsi="Times New Roman" w:cs="Times New Roman"/>
          <w:color w:val="000000"/>
          <w:kern w:val="2"/>
          <w:sz w:val="18"/>
          <w:szCs w:val="24"/>
          <w:lang w:val="en-PH"/>
          <w14:ligatures w14:val="standardContextual"/>
        </w:rPr>
        <w:lastRenderedPageBreak/>
        <w:t>traditional instruction likewise demonstrated significant improvement. The result implies that structured teacher-led explanation, guided examples, and practice exercises can produce meaningful learning gains, particularly when learners begin at low baseline performance and benefit from systematic scaffolding of procedures and problem-solving steps.</w:t>
      </w:r>
    </w:p>
    <w:p w14:paraId="57E22AB4" w14:textId="77777777" w:rsidR="007D1237" w:rsidRDefault="007D1237" w:rsidP="00E26D99">
      <w:pPr>
        <w:spacing w:after="0"/>
        <w:rPr>
          <w:rFonts w:ascii="Times New Roman" w:eastAsia="Times New Roman" w:hAnsi="Times New Roman" w:cs="Times New Roman"/>
          <w:color w:val="000000"/>
          <w:kern w:val="2"/>
          <w:sz w:val="18"/>
          <w:szCs w:val="24"/>
          <w14:ligatures w14:val="standardContextual"/>
        </w:rPr>
      </w:pPr>
    </w:p>
    <w:p w14:paraId="4905C41E" w14:textId="77777777" w:rsidR="00E26D99" w:rsidRPr="00E26D99" w:rsidRDefault="00E26D99" w:rsidP="00E26D99">
      <w:pPr>
        <w:spacing w:after="0"/>
        <w:ind w:firstLine="720"/>
        <w:rPr>
          <w:rFonts w:ascii="Times New Roman" w:eastAsia="Times New Roman" w:hAnsi="Times New Roman" w:cs="Times New Roman"/>
          <w:b/>
          <w:bCs/>
          <w:color w:val="000000"/>
          <w:kern w:val="2"/>
          <w:sz w:val="18"/>
          <w:szCs w:val="24"/>
          <w14:ligatures w14:val="standardContextual"/>
        </w:rPr>
      </w:pPr>
      <w:r w:rsidRPr="00E26D99">
        <w:rPr>
          <w:rFonts w:ascii="Times New Roman" w:eastAsia="Times New Roman" w:hAnsi="Times New Roman" w:cs="Times New Roman"/>
          <w:b/>
          <w:bCs/>
          <w:color w:val="000000"/>
          <w:kern w:val="2"/>
          <w:sz w:val="18"/>
          <w:szCs w:val="24"/>
          <w14:ligatures w14:val="standardContextual"/>
        </w:rPr>
        <w:t>3.2.3 Difference Between the Pre-test and Post-test Results of the Experimental Group</w:t>
      </w:r>
    </w:p>
    <w:p w14:paraId="4F6B35BC" w14:textId="7125635B" w:rsidR="00E26D99" w:rsidRPr="00E26D99" w:rsidRDefault="00E26D99" w:rsidP="00E26D99">
      <w:pPr>
        <w:spacing w:after="0"/>
        <w:rPr>
          <w:rFonts w:ascii="Times New Roman" w:eastAsia="Times New Roman" w:hAnsi="Times New Roman" w:cs="Times New Roman"/>
          <w:color w:val="000000"/>
          <w:kern w:val="2"/>
          <w:sz w:val="18"/>
          <w:szCs w:val="24"/>
          <w:lang w:val="en-PH"/>
          <w14:ligatures w14:val="standardContextual"/>
        </w:rPr>
      </w:pPr>
      <w:r w:rsidRPr="00E26D99">
        <w:rPr>
          <w:rFonts w:ascii="Times New Roman" w:eastAsia="Times New Roman" w:hAnsi="Times New Roman" w:cs="Times New Roman"/>
          <w:color w:val="000000"/>
          <w:kern w:val="2"/>
          <w:sz w:val="18"/>
          <w:szCs w:val="24"/>
          <w:lang w:val="en-PH"/>
          <w14:ligatures w14:val="standardContextual"/>
        </w:rPr>
        <w:t>For the experimental group, mean performance increased from 12.2 (SD = 2.86) in the pre-test to 16.6 (SD = 3.56) in the post-test, producing a mean difference of 4.4. The computed t-value was -3.44 and the P-value was 0.003, which is less than 0.05. The null hypothesis was rejected, indicating a statistically significant improvement among students exposed to the Gold Standard PBL model.</w:t>
      </w:r>
      <w:r>
        <w:rPr>
          <w:rFonts w:ascii="Times New Roman" w:eastAsia="Times New Roman" w:hAnsi="Times New Roman" w:cs="Times New Roman"/>
          <w:color w:val="000000"/>
          <w:kern w:val="2"/>
          <w:sz w:val="18"/>
          <w:szCs w:val="24"/>
          <w:lang w:val="en-PH"/>
          <w14:ligatures w14:val="standardContextual"/>
        </w:rPr>
        <w:t xml:space="preserve"> </w:t>
      </w:r>
      <w:r w:rsidRPr="00E26D99">
        <w:rPr>
          <w:rFonts w:ascii="Times New Roman" w:eastAsia="Times New Roman" w:hAnsi="Times New Roman" w:cs="Times New Roman"/>
          <w:color w:val="000000"/>
          <w:kern w:val="2"/>
          <w:sz w:val="18"/>
          <w:szCs w:val="24"/>
          <w:lang w:val="en-PH"/>
          <w14:ligatures w14:val="standardContextual"/>
        </w:rPr>
        <w:t xml:space="preserve">The significant pre–post improvement supports the effectiveness of GSPBL in enriching students’ skills in solving linear equations in one variable. This aligns with </w:t>
      </w:r>
      <w:proofErr w:type="spellStart"/>
      <w:r w:rsidRPr="00E26D99">
        <w:rPr>
          <w:rFonts w:ascii="Times New Roman" w:eastAsia="Times New Roman" w:hAnsi="Times New Roman" w:cs="Times New Roman"/>
          <w:color w:val="000000"/>
          <w:kern w:val="2"/>
          <w:sz w:val="18"/>
          <w:szCs w:val="24"/>
          <w:lang w:val="en-PH"/>
          <w14:ligatures w14:val="standardContextual"/>
        </w:rPr>
        <w:t>Bukari</w:t>
      </w:r>
      <w:proofErr w:type="spellEnd"/>
      <w:r w:rsidRPr="00E26D99">
        <w:rPr>
          <w:rFonts w:ascii="Times New Roman" w:eastAsia="Times New Roman" w:hAnsi="Times New Roman" w:cs="Times New Roman"/>
          <w:color w:val="000000"/>
          <w:kern w:val="2"/>
          <w:sz w:val="18"/>
          <w:szCs w:val="24"/>
          <w:lang w:val="en-PH"/>
          <w14:ligatures w14:val="standardContextual"/>
        </w:rPr>
        <w:t xml:space="preserve"> (2020), which reported significant performance improvement among students exposed to PBL in linear equation word problems </w:t>
      </w:r>
      <w:proofErr w:type="gramStart"/>
      <w:r w:rsidRPr="00E26D99">
        <w:rPr>
          <w:rFonts w:ascii="Times New Roman" w:eastAsia="Times New Roman" w:hAnsi="Times New Roman" w:cs="Times New Roman"/>
          <w:color w:val="000000"/>
          <w:kern w:val="2"/>
          <w:sz w:val="18"/>
          <w:szCs w:val="24"/>
          <w:lang w:val="en-PH"/>
          <w14:ligatures w14:val="standardContextual"/>
        </w:rPr>
        <w:t>and also</w:t>
      </w:r>
      <w:proofErr w:type="gramEnd"/>
      <w:r w:rsidRPr="00E26D99">
        <w:rPr>
          <w:rFonts w:ascii="Times New Roman" w:eastAsia="Times New Roman" w:hAnsi="Times New Roman" w:cs="Times New Roman"/>
          <w:color w:val="000000"/>
          <w:kern w:val="2"/>
          <w:sz w:val="18"/>
          <w:szCs w:val="24"/>
          <w:lang w:val="en-PH"/>
          <w14:ligatures w14:val="standardContextual"/>
        </w:rPr>
        <w:t xml:space="preserve"> noted increased engagement and a more positive attitude toward mathematics. Within the present study’s context, the result suggests that an instructional approach grounded in inquiry, collaboration, and authentic problem engagement can generate measurable gains in algebra performance even when students begin with low initial proficiency.</w:t>
      </w:r>
    </w:p>
    <w:p w14:paraId="6661180F" w14:textId="77777777" w:rsidR="00E26D99" w:rsidRPr="00E26D99" w:rsidRDefault="00E26D99" w:rsidP="00E26D99">
      <w:pPr>
        <w:spacing w:after="0"/>
        <w:rPr>
          <w:rFonts w:ascii="Times New Roman" w:eastAsia="Times New Roman" w:hAnsi="Times New Roman" w:cs="Times New Roman"/>
          <w:color w:val="000000"/>
          <w:kern w:val="2"/>
          <w:sz w:val="18"/>
          <w:szCs w:val="24"/>
          <w14:ligatures w14:val="standardContextual"/>
        </w:rPr>
      </w:pPr>
    </w:p>
    <w:p w14:paraId="2AE10025" w14:textId="20136582" w:rsidR="00E26D99" w:rsidRPr="00E26D99" w:rsidRDefault="00E26D99" w:rsidP="00E26D99">
      <w:pPr>
        <w:spacing w:after="0"/>
        <w:ind w:firstLine="720"/>
        <w:rPr>
          <w:rFonts w:ascii="Times New Roman" w:eastAsia="Times New Roman" w:hAnsi="Times New Roman" w:cs="Times New Roman"/>
          <w:b/>
          <w:bCs/>
          <w:color w:val="000000"/>
          <w:kern w:val="2"/>
          <w:sz w:val="18"/>
          <w:szCs w:val="24"/>
          <w14:ligatures w14:val="standardContextual"/>
        </w:rPr>
      </w:pPr>
      <w:r w:rsidRPr="00E26D99">
        <w:rPr>
          <w:rFonts w:ascii="Times New Roman" w:eastAsia="Times New Roman" w:hAnsi="Times New Roman" w:cs="Times New Roman"/>
          <w:b/>
          <w:bCs/>
          <w:color w:val="000000"/>
          <w:kern w:val="2"/>
          <w:sz w:val="18"/>
          <w:szCs w:val="24"/>
          <w14:ligatures w14:val="standardContextual"/>
        </w:rPr>
        <w:t>3.2.4 Difference Between the Post-test Results of the Two Groups</w:t>
      </w:r>
    </w:p>
    <w:p w14:paraId="31B66722" w14:textId="09F4C6FC" w:rsidR="007D1237" w:rsidRPr="00E26D99" w:rsidRDefault="00E26D99" w:rsidP="00E26D99">
      <w:pPr>
        <w:spacing w:after="0"/>
        <w:rPr>
          <w:rFonts w:ascii="Times New Roman" w:eastAsia="Times New Roman" w:hAnsi="Times New Roman" w:cs="Times New Roman"/>
          <w:color w:val="000000"/>
          <w:kern w:val="2"/>
          <w:sz w:val="18"/>
          <w:szCs w:val="24"/>
          <w:lang w:val="en-PH"/>
          <w14:ligatures w14:val="standardContextual"/>
        </w:rPr>
      </w:pPr>
      <w:r w:rsidRPr="00E26D99">
        <w:rPr>
          <w:rFonts w:ascii="Times New Roman" w:eastAsia="Times New Roman" w:hAnsi="Times New Roman" w:cs="Times New Roman"/>
          <w:color w:val="000000"/>
          <w:kern w:val="2"/>
          <w:sz w:val="18"/>
          <w:szCs w:val="24"/>
          <w:lang w:val="en-PH"/>
          <w14:ligatures w14:val="standardContextual"/>
        </w:rPr>
        <w:t>The post-test comparison showed mean scores of 17 (SD = 4.38) for the control group and 16.6 (SD = 3.56) for the experimental group, with a mean difference of 1.4. The computed t-value was -0.27 and the P-value was 0.76, which is greater than 0.05. The null hypothesis was accepted, indicating no statistically significant difference between the groups’ post-test results.</w:t>
      </w:r>
      <w:r>
        <w:rPr>
          <w:rFonts w:ascii="Times New Roman" w:eastAsia="Times New Roman" w:hAnsi="Times New Roman" w:cs="Times New Roman"/>
          <w:color w:val="000000"/>
          <w:kern w:val="2"/>
          <w:sz w:val="18"/>
          <w:szCs w:val="24"/>
          <w:lang w:val="en-PH"/>
          <w14:ligatures w14:val="standardContextual"/>
        </w:rPr>
        <w:t xml:space="preserve"> </w:t>
      </w:r>
      <w:r w:rsidRPr="00E26D99">
        <w:rPr>
          <w:rFonts w:ascii="Times New Roman" w:eastAsia="Times New Roman" w:hAnsi="Times New Roman" w:cs="Times New Roman"/>
          <w:color w:val="000000"/>
          <w:kern w:val="2"/>
          <w:sz w:val="18"/>
          <w:szCs w:val="24"/>
          <w:lang w:val="en-PH"/>
          <w14:ligatures w14:val="standardContextual"/>
        </w:rPr>
        <w:t xml:space="preserve">The absence of a significant post-test difference indicates that, while both groups improved substantially within-group, neither approach produced a statistically superior outcome relative to the other under the study’s implementation conditions. This pattern is consistent with </w:t>
      </w:r>
      <w:proofErr w:type="spellStart"/>
      <w:r w:rsidRPr="00E26D99">
        <w:rPr>
          <w:rFonts w:ascii="Times New Roman" w:eastAsia="Times New Roman" w:hAnsi="Times New Roman" w:cs="Times New Roman"/>
          <w:color w:val="000000"/>
          <w:kern w:val="2"/>
          <w:sz w:val="18"/>
          <w:szCs w:val="24"/>
          <w:lang w:val="en-PH"/>
          <w14:ligatures w14:val="standardContextual"/>
        </w:rPr>
        <w:t>Bukari</w:t>
      </w:r>
      <w:proofErr w:type="spellEnd"/>
      <w:r w:rsidRPr="00E26D99">
        <w:rPr>
          <w:rFonts w:ascii="Times New Roman" w:eastAsia="Times New Roman" w:hAnsi="Times New Roman" w:cs="Times New Roman"/>
          <w:color w:val="000000"/>
          <w:kern w:val="2"/>
          <w:sz w:val="18"/>
          <w:szCs w:val="24"/>
          <w:lang w:val="en-PH"/>
          <w14:ligatures w14:val="standardContextual"/>
        </w:rPr>
        <w:t xml:space="preserve"> (2020), where improvement from pre-test to post-test did not translate into a statistically significant advantage for the active-learning group over the control group in post-test scores. From an instructional perspective, this suggests that short-cycle gains may be achievable through both approaches, but differences in outcomes may not emerge strongly unless conditions allow deeper consolidation of learning, more extended exposure, or assessments that capture higher-level transfer and reasoning. In this study, the comparable post-test outcomes can therefore be interpreted as evidence that GSPBL is beneficial for learning improvement, but its advantage over conventional instruction was not demonstrated quantitatively in the final post-test performance.</w:t>
      </w:r>
    </w:p>
    <w:p w14:paraId="70EA0432" w14:textId="42BB00AF" w:rsidR="00D216E8" w:rsidRDefault="00D216E8" w:rsidP="000B4B31">
      <w:pPr>
        <w:pStyle w:val="Heading1"/>
      </w:pPr>
      <w:r w:rsidRPr="007E33D8">
        <w:t>Conclusion</w:t>
      </w:r>
      <w:r w:rsidR="004F016C">
        <w:t xml:space="preserve"> &amp; </w:t>
      </w:r>
      <w:r w:rsidR="004F016C" w:rsidRPr="00EB17A3">
        <w:t xml:space="preserve">Recommendations </w:t>
      </w:r>
    </w:p>
    <w:p w14:paraId="6FB9D082" w14:textId="5E2DB7AF" w:rsidR="0002171C" w:rsidRPr="0002171C" w:rsidRDefault="00C82504" w:rsidP="0002171C">
      <w:pPr>
        <w:rPr>
          <w:rFonts w:ascii="Times New Roman" w:hAnsi="Times New Roman" w:cs="Times New Roman"/>
        </w:rPr>
      </w:pPr>
      <w:r w:rsidRPr="00C82504">
        <w:rPr>
          <w:rFonts w:ascii="Times New Roman" w:hAnsi="Times New Roman" w:cs="Times New Roman"/>
        </w:rPr>
        <w:t>The study concludes that the Gold Standard PBL approach contributed to meaningful learning improvement among the experimental group, as reflected in a statistically significant increase from pre-test to post-test performance in solving linear equations in one variable. At the same time, the comparative post-test analysis indicates that the experimental group did not significantly outperform the control group taught through conventional methods, because both groups demonstrated improvement and their mean post-test scores remained comparable. Taken together, these findings position Gold Standard PBL as a viable and effective instructional approach for enriching learners’ understanding and skills on the target competency, while also indicating that its advantage over conventional teaching may not be readily captured through immediate standardized post-test outcomes within the specific context and timeframe of implementation.</w:t>
      </w:r>
    </w:p>
    <w:p w14:paraId="1AC83D7C" w14:textId="77777777" w:rsidR="00C82504" w:rsidRDefault="00C82504" w:rsidP="0002171C">
      <w:pPr>
        <w:spacing w:after="0"/>
        <w:rPr>
          <w:rFonts w:ascii="Times New Roman" w:hAnsi="Times New Roman" w:cs="Times New Roman"/>
        </w:rPr>
      </w:pPr>
      <w:r w:rsidRPr="00C82504">
        <w:rPr>
          <w:rFonts w:ascii="Times New Roman" w:hAnsi="Times New Roman" w:cs="Times New Roman"/>
        </w:rPr>
        <w:t xml:space="preserve">Based strictly on the study’s conclusions, it is recommended that school administrators encourage mathematics teachers to utilize the Gold Standard PBL model to enrich learners’ skills in solving linear equations in one variable, and that mathematics supervisors include a workshop focused on integrating the Gold Standard PBL model into lesson planning to strengthen classroom implementation. It is likewise recommended that mathematics club advisers apply the model during remedial tutorials or review classes and refer it to learners who </w:t>
      </w:r>
      <w:proofErr w:type="gramStart"/>
      <w:r w:rsidRPr="00C82504">
        <w:rPr>
          <w:rFonts w:ascii="Times New Roman" w:hAnsi="Times New Roman" w:cs="Times New Roman"/>
        </w:rPr>
        <w:t>experience difficulty</w:t>
      </w:r>
      <w:proofErr w:type="gramEnd"/>
      <w:r w:rsidRPr="00C82504">
        <w:rPr>
          <w:rFonts w:ascii="Times New Roman" w:hAnsi="Times New Roman" w:cs="Times New Roman"/>
        </w:rPr>
        <w:t xml:space="preserve"> with the topic. For future research, replication is recommended using more exposure sessions, a test with more items to generate additional evidence on the model’s effect, and post-tests administered with sufficiently long intervals after the intervention to examine the model’s potential role as a retention aid; further enhancement of the tool and assessment of resulting outcomes are also recommended.</w:t>
      </w:r>
    </w:p>
    <w:p w14:paraId="7BE756E6" w14:textId="77777777" w:rsidR="00C82504" w:rsidRDefault="00C82504" w:rsidP="0002171C">
      <w:pPr>
        <w:spacing w:after="0"/>
        <w:rPr>
          <w:rFonts w:ascii="Times New Roman" w:hAnsi="Times New Roman" w:cs="Times New Roman"/>
        </w:rPr>
      </w:pPr>
    </w:p>
    <w:p w14:paraId="12D43E3F" w14:textId="69DDF3C7" w:rsidR="0002171C" w:rsidRDefault="00C82504" w:rsidP="0002171C">
      <w:pPr>
        <w:spacing w:after="0"/>
        <w:rPr>
          <w:rFonts w:ascii="Times New Roman" w:hAnsi="Times New Roman" w:cs="Times New Roman"/>
        </w:rPr>
      </w:pPr>
      <w:r w:rsidRPr="00C82504">
        <w:rPr>
          <w:rFonts w:ascii="Times New Roman" w:hAnsi="Times New Roman" w:cs="Times New Roman"/>
        </w:rPr>
        <w:t>The study recognizes that the superiority of the Gold Standard PBL model over conventional teaching may not be immediately evident when outcomes are measured through standardized post-test performance within a limited implementation window and under the study’s existing evaluation conditions. As indicated in the text, stronger capture of the depth of learning attributed to the model may require a longer intervention period, the integration of mastery-based assessments, and closer alignment between project tasks and the evaluation tools used to measure learning. The recommendations for increased exposure, more test items, and longer post-test intervals likewise imply that the scope and timing of measurement may have constrained the ability to observe longer-term learning consolidation and retention effects.</w:t>
      </w:r>
      <w:r w:rsidR="0002171C" w:rsidRPr="0002171C">
        <w:rPr>
          <w:rFonts w:ascii="Times New Roman" w:hAnsi="Times New Roman" w:cs="Times New Roman"/>
        </w:rPr>
        <w:t xml:space="preserve">    </w:t>
      </w:r>
    </w:p>
    <w:p w14:paraId="4AA6C620" w14:textId="14E4DA7A" w:rsidR="00BF283A" w:rsidRPr="00BF283A" w:rsidRDefault="007B50EF" w:rsidP="000B4B31">
      <w:pPr>
        <w:pStyle w:val="WJS-l-Headingnonumbering"/>
      </w:pPr>
      <w:r w:rsidRPr="009B379E">
        <w:t xml:space="preserve">Compliance with </w:t>
      </w:r>
      <w:r w:rsidR="003C6513" w:rsidRPr="009B379E">
        <w:t>e</w:t>
      </w:r>
      <w:r w:rsidRPr="009B379E">
        <w:t xml:space="preserve">thical </w:t>
      </w:r>
      <w:r w:rsidR="003C6513" w:rsidRPr="009B379E">
        <w:t>s</w:t>
      </w:r>
      <w:r w:rsidRPr="009B379E">
        <w:t>tandards</w:t>
      </w:r>
      <w:r w:rsidR="00175F39" w:rsidRPr="009B379E">
        <w:t xml:space="preserve"> </w:t>
      </w:r>
    </w:p>
    <w:p w14:paraId="7DB0A2DD" w14:textId="62133A72" w:rsidR="00081C85" w:rsidRPr="0002171C" w:rsidRDefault="0002171C" w:rsidP="00BF283A">
      <w:pPr>
        <w:pStyle w:val="WJS-l-subheadingsnonumbering"/>
        <w:spacing w:before="0" w:after="0"/>
        <w:jc w:val="both"/>
        <w:rPr>
          <w:rFonts w:ascii="Times New Roman" w:hAnsi="Times New Roman" w:cs="Times New Roman"/>
          <w:i w:val="0"/>
          <w:sz w:val="20"/>
        </w:rPr>
      </w:pPr>
      <w:r w:rsidRPr="0002171C">
        <w:rPr>
          <w:rFonts w:ascii="Times New Roman" w:hAnsi="Times New Roman" w:cs="Times New Roman"/>
          <w:i w:val="0"/>
          <w:sz w:val="20"/>
        </w:rPr>
        <w:t>The authors declare no conflict of interest. This research received no specific grant from any funding agency in the public, commercial, or not-for-profit sectors</w:t>
      </w:r>
      <w:r w:rsidR="009F32E8">
        <w:rPr>
          <w:rFonts w:ascii="Times New Roman" w:hAnsi="Times New Roman" w:cs="Times New Roman"/>
          <w:i w:val="0"/>
          <w:sz w:val="20"/>
        </w:rPr>
        <w:t xml:space="preserve">. </w:t>
      </w:r>
      <w:r w:rsidRPr="0002171C">
        <w:rPr>
          <w:rFonts w:ascii="Times New Roman" w:hAnsi="Times New Roman" w:cs="Times New Roman"/>
          <w:i w:val="0"/>
          <w:sz w:val="20"/>
        </w:rPr>
        <w:t xml:space="preserve">This study was self-funded. The authors thank the participating </w:t>
      </w:r>
      <w:r w:rsidR="00C82504">
        <w:rPr>
          <w:rFonts w:ascii="Times New Roman" w:hAnsi="Times New Roman" w:cs="Times New Roman"/>
          <w:i w:val="0"/>
          <w:sz w:val="20"/>
        </w:rPr>
        <w:t>school</w:t>
      </w:r>
      <w:r w:rsidRPr="0002171C">
        <w:rPr>
          <w:rFonts w:ascii="Times New Roman" w:hAnsi="Times New Roman" w:cs="Times New Roman"/>
          <w:i w:val="0"/>
          <w:sz w:val="20"/>
        </w:rPr>
        <w:t xml:space="preserve"> and students for their contributions</w:t>
      </w:r>
      <w:r w:rsidR="004B0820">
        <w:rPr>
          <w:rFonts w:ascii="Times New Roman" w:hAnsi="Times New Roman" w:cs="Times New Roman"/>
          <w:i w:val="0"/>
          <w:sz w:val="20"/>
        </w:rPr>
        <w:t>.</w:t>
      </w:r>
    </w:p>
    <w:p w14:paraId="516B75AA" w14:textId="76E141FC" w:rsidR="000B4B31" w:rsidRDefault="000B4B31" w:rsidP="000B4B31">
      <w:pPr>
        <w:jc w:val="center"/>
        <w:rPr>
          <w:b/>
          <w:bCs/>
          <w:sz w:val="24"/>
          <w:szCs w:val="24"/>
        </w:rPr>
      </w:pPr>
    </w:p>
    <w:p w14:paraId="3AAD512B" w14:textId="77777777" w:rsidR="00C82504" w:rsidRDefault="00C82504" w:rsidP="000B4B31">
      <w:pPr>
        <w:jc w:val="center"/>
        <w:rPr>
          <w:b/>
          <w:bCs/>
          <w:sz w:val="24"/>
          <w:szCs w:val="24"/>
        </w:rPr>
      </w:pPr>
    </w:p>
    <w:p w14:paraId="05BBA9B9" w14:textId="194A45FB" w:rsidR="008A59B2" w:rsidRPr="000B4B31" w:rsidRDefault="000B4B31" w:rsidP="000B4B31">
      <w:pPr>
        <w:jc w:val="center"/>
        <w:rPr>
          <w:b/>
          <w:bCs/>
          <w:sz w:val="24"/>
          <w:szCs w:val="24"/>
        </w:rPr>
      </w:pPr>
      <w:r w:rsidRPr="000B4B31">
        <w:rPr>
          <w:b/>
          <w:bCs/>
          <w:sz w:val="24"/>
          <w:szCs w:val="24"/>
        </w:rPr>
        <w:lastRenderedPageBreak/>
        <w:t>REFERENCES</w:t>
      </w:r>
    </w:p>
    <w:p w14:paraId="3A9DEECF"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Abe, E. N., &amp; Gbenro, D. A. (2020). Project-based learning as a strategy for enhancing students’ achievement in algebra. </w:t>
      </w:r>
      <w:r w:rsidRPr="00DB4F78">
        <w:rPr>
          <w:rFonts w:ascii="Times New Roman" w:eastAsia="Times New Roman" w:hAnsi="Times New Roman" w:cs="Times New Roman"/>
          <w:bCs/>
          <w:i/>
          <w:iCs/>
          <w:noProof/>
          <w:sz w:val="22"/>
          <w:lang w:val="en-PH"/>
        </w:rPr>
        <w:t>Journal of Educational Research and Practice, 10</w:t>
      </w:r>
      <w:r w:rsidRPr="00DB4F78">
        <w:rPr>
          <w:rFonts w:ascii="Times New Roman" w:eastAsia="Times New Roman" w:hAnsi="Times New Roman" w:cs="Times New Roman"/>
          <w:bCs/>
          <w:noProof/>
          <w:sz w:val="22"/>
          <w:lang w:val="en-PH"/>
        </w:rPr>
        <w:t>(3), 102–113.</w:t>
      </w:r>
    </w:p>
    <w:p w14:paraId="57DF43F4"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Adnan, M., &amp; Abdul Rahman, F. (2024). Challenges in implementing project-based learning in Malaysian vocational colleges during teaching practicum. </w:t>
      </w:r>
      <w:r w:rsidRPr="00DB4F78">
        <w:rPr>
          <w:rFonts w:ascii="Times New Roman" w:eastAsia="Times New Roman" w:hAnsi="Times New Roman" w:cs="Times New Roman"/>
          <w:bCs/>
          <w:i/>
          <w:iCs/>
          <w:noProof/>
          <w:sz w:val="22"/>
          <w:lang w:val="en-PH"/>
        </w:rPr>
        <w:t>International Journal of Academic Research in Progressive Education and Development, 13</w:t>
      </w:r>
      <w:r w:rsidRPr="00DB4F78">
        <w:rPr>
          <w:rFonts w:ascii="Times New Roman" w:eastAsia="Times New Roman" w:hAnsi="Times New Roman" w:cs="Times New Roman"/>
          <w:bCs/>
          <w:noProof/>
          <w:sz w:val="22"/>
          <w:lang w:val="en-PH"/>
        </w:rPr>
        <w:t>(1), 192–206.</w:t>
      </w:r>
    </w:p>
    <w:p w14:paraId="2B3ECFCB" w14:textId="77777777" w:rsidR="00784330" w:rsidRDefault="00784330" w:rsidP="004B0820">
      <w:pPr>
        <w:spacing w:after="0"/>
        <w:ind w:left="720" w:hanging="720"/>
      </w:pPr>
      <w:r>
        <w:t xml:space="preserve">Agustin, N., Banzon, I., &amp; Santos, A. (2025). </w:t>
      </w:r>
      <w:r>
        <w:rPr>
          <w:rStyle w:val="Emphasis"/>
        </w:rPr>
        <w:t>Workforce Empowerment as a Marketing Strategy: Addressing Training Needs for Organizational Success.</w:t>
      </w:r>
      <w:r>
        <w:t xml:space="preserve"> Available at SSRN 5265861.</w:t>
      </w:r>
    </w:p>
    <w:p w14:paraId="23B664A8"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Almulla, M. A. (2020). The effectiveness of the project-based learning (PBL) approach as a way to engage students in learning. </w:t>
      </w:r>
      <w:r w:rsidRPr="00DB4F78">
        <w:rPr>
          <w:rFonts w:ascii="Times New Roman" w:eastAsia="Times New Roman" w:hAnsi="Times New Roman" w:cs="Times New Roman"/>
          <w:bCs/>
          <w:i/>
          <w:iCs/>
          <w:noProof/>
          <w:sz w:val="22"/>
          <w:lang w:val="en-PH"/>
        </w:rPr>
        <w:t>SAGE Open, 10</w:t>
      </w:r>
      <w:r w:rsidRPr="00DB4F78">
        <w:rPr>
          <w:rFonts w:ascii="Times New Roman" w:eastAsia="Times New Roman" w:hAnsi="Times New Roman" w:cs="Times New Roman"/>
          <w:bCs/>
          <w:noProof/>
          <w:sz w:val="22"/>
          <w:lang w:val="en-PH"/>
        </w:rPr>
        <w:t xml:space="preserve">(3). </w:t>
      </w:r>
      <w:hyperlink r:id="rId9" w:tgtFrame="_new" w:history="1">
        <w:r w:rsidRPr="00DB4F78">
          <w:rPr>
            <w:rStyle w:val="Hyperlink"/>
            <w:rFonts w:ascii="Times New Roman" w:eastAsia="Times New Roman" w:hAnsi="Times New Roman" w:cs="Times New Roman"/>
            <w:bCs/>
            <w:noProof/>
            <w:sz w:val="22"/>
            <w:lang w:val="en-PH"/>
          </w:rPr>
          <w:t>https://doi.org/10.1177/2158244020938702</w:t>
        </w:r>
      </w:hyperlink>
    </w:p>
    <w:p w14:paraId="27404691"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Ampadu, E., &amp; Anokye-Poku, D. (2022). Influence of personal, motivational and learning environment factors on students’ attitudes toward mathematics. </w:t>
      </w:r>
      <w:r w:rsidRPr="00DB4F78">
        <w:rPr>
          <w:rFonts w:ascii="Times New Roman" w:eastAsia="Times New Roman" w:hAnsi="Times New Roman" w:cs="Times New Roman"/>
          <w:bCs/>
          <w:i/>
          <w:iCs/>
          <w:noProof/>
          <w:sz w:val="22"/>
          <w:lang w:val="en-PH"/>
        </w:rPr>
        <w:t>International Journal of Research in Education and Science, 8</w:t>
      </w:r>
      <w:r w:rsidRPr="00DB4F78">
        <w:rPr>
          <w:rFonts w:ascii="Times New Roman" w:eastAsia="Times New Roman" w:hAnsi="Times New Roman" w:cs="Times New Roman"/>
          <w:bCs/>
          <w:noProof/>
          <w:sz w:val="22"/>
          <w:lang w:val="en-PH"/>
        </w:rPr>
        <w:t xml:space="preserve">(2), 378–392. </w:t>
      </w:r>
      <w:hyperlink r:id="rId10" w:tgtFrame="_new" w:history="1">
        <w:r w:rsidRPr="00DB4F78">
          <w:rPr>
            <w:rStyle w:val="Hyperlink"/>
            <w:rFonts w:ascii="Times New Roman" w:eastAsia="Times New Roman" w:hAnsi="Times New Roman" w:cs="Times New Roman"/>
            <w:bCs/>
            <w:noProof/>
            <w:sz w:val="22"/>
            <w:lang w:val="en-PH"/>
          </w:rPr>
          <w:t>https://doi.org/10.46328/ijres.2666</w:t>
        </w:r>
      </w:hyperlink>
    </w:p>
    <w:p w14:paraId="67DFF1BB"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Assadi, N., &amp; Hibi, W. (2022). The impact of using real life situations in solving linear equations by seventh graders. </w:t>
      </w:r>
      <w:r w:rsidRPr="00DB4F78">
        <w:rPr>
          <w:rFonts w:ascii="Times New Roman" w:eastAsia="Times New Roman" w:hAnsi="Times New Roman" w:cs="Times New Roman"/>
          <w:bCs/>
          <w:i/>
          <w:iCs/>
          <w:noProof/>
          <w:sz w:val="22"/>
          <w:lang w:val="en-PH"/>
        </w:rPr>
        <w:t>Journal of Educational and Social Research, 12</w:t>
      </w:r>
      <w:r w:rsidRPr="00DB4F78">
        <w:rPr>
          <w:rFonts w:ascii="Times New Roman" w:eastAsia="Times New Roman" w:hAnsi="Times New Roman" w:cs="Times New Roman"/>
          <w:bCs/>
          <w:noProof/>
          <w:sz w:val="22"/>
          <w:lang w:val="en-PH"/>
        </w:rPr>
        <w:t xml:space="preserve">(1), 51. </w:t>
      </w:r>
      <w:hyperlink r:id="rId11" w:tgtFrame="_new" w:history="1">
        <w:r w:rsidRPr="00DB4F78">
          <w:rPr>
            <w:rStyle w:val="Hyperlink"/>
            <w:rFonts w:ascii="Times New Roman" w:eastAsia="Times New Roman" w:hAnsi="Times New Roman" w:cs="Times New Roman"/>
            <w:bCs/>
            <w:noProof/>
            <w:sz w:val="22"/>
            <w:lang w:val="en-PH"/>
          </w:rPr>
          <w:t>https://doi.org/10.36941/jesr-2022-0006</w:t>
        </w:r>
      </w:hyperlink>
    </w:p>
    <w:p w14:paraId="15497099"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Baidoo, J., &amp; Ali, C. A. (2023). Students’ mathematics and real-life contexts in solving algebraic word problems. </w:t>
      </w:r>
      <w:r w:rsidRPr="00DB4F78">
        <w:rPr>
          <w:rFonts w:ascii="Times New Roman" w:eastAsia="Times New Roman" w:hAnsi="Times New Roman" w:cs="Times New Roman"/>
          <w:bCs/>
          <w:i/>
          <w:iCs/>
          <w:noProof/>
          <w:sz w:val="22"/>
          <w:lang w:val="en-PH"/>
        </w:rPr>
        <w:t>Al-Jabar: Pendidikan Matematika, 14</w:t>
      </w:r>
      <w:r w:rsidRPr="00DB4F78">
        <w:rPr>
          <w:rFonts w:ascii="Times New Roman" w:eastAsia="Times New Roman" w:hAnsi="Times New Roman" w:cs="Times New Roman"/>
          <w:bCs/>
          <w:noProof/>
          <w:sz w:val="22"/>
          <w:lang w:val="en-PH"/>
        </w:rPr>
        <w:t>(2), 483–500.</w:t>
      </w:r>
    </w:p>
    <w:p w14:paraId="3D715302"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Bakar, N. I. A., Noordin, N., &amp; Razali, A. B. (2019). Improving oral communicative competence in English using project-based learning activities. </w:t>
      </w:r>
      <w:r w:rsidRPr="00DB4F78">
        <w:rPr>
          <w:rFonts w:ascii="Times New Roman" w:eastAsia="Times New Roman" w:hAnsi="Times New Roman" w:cs="Times New Roman"/>
          <w:bCs/>
          <w:i/>
          <w:iCs/>
          <w:noProof/>
          <w:sz w:val="22"/>
          <w:lang w:val="en-PH"/>
        </w:rPr>
        <w:t>English Language Teaching, 12</w:t>
      </w:r>
      <w:r w:rsidRPr="00DB4F78">
        <w:rPr>
          <w:rFonts w:ascii="Times New Roman" w:eastAsia="Times New Roman" w:hAnsi="Times New Roman" w:cs="Times New Roman"/>
          <w:bCs/>
          <w:noProof/>
          <w:sz w:val="22"/>
          <w:lang w:val="en-PH"/>
        </w:rPr>
        <w:t xml:space="preserve">, 73–84. </w:t>
      </w:r>
      <w:hyperlink r:id="rId12" w:tgtFrame="_new" w:history="1">
        <w:r w:rsidRPr="00DB4F78">
          <w:rPr>
            <w:rStyle w:val="Hyperlink"/>
            <w:rFonts w:ascii="Times New Roman" w:eastAsia="Times New Roman" w:hAnsi="Times New Roman" w:cs="Times New Roman"/>
            <w:bCs/>
            <w:noProof/>
            <w:sz w:val="22"/>
            <w:lang w:val="en-PH"/>
          </w:rPr>
          <w:t>https://doi.org/10.5539/elt.v12n4p73</w:t>
        </w:r>
      </w:hyperlink>
    </w:p>
    <w:p w14:paraId="3F8A3AC2" w14:textId="77777777" w:rsidR="00784330" w:rsidRDefault="00784330" w:rsidP="004B0820">
      <w:pPr>
        <w:spacing w:after="0"/>
        <w:ind w:left="720" w:hanging="720"/>
      </w:pPr>
      <w:r>
        <w:t xml:space="preserve">Banzon, I., &amp; Santos, A. (2025). </w:t>
      </w:r>
      <w:r>
        <w:rPr>
          <w:rStyle w:val="Emphasis"/>
        </w:rPr>
        <w:t>Evaluating Consumer Preferences and Buying Behavior for Locally Produced Vegetables in San Antonio, Nueva Ecija.</w:t>
      </w:r>
    </w:p>
    <w:p w14:paraId="34FD05CF"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Boaler, J. (2002). Learning from teaching: Exploring the relationship between reform curriculum and equity. </w:t>
      </w:r>
      <w:r w:rsidRPr="00DB4F78">
        <w:rPr>
          <w:rFonts w:ascii="Times New Roman" w:eastAsia="Times New Roman" w:hAnsi="Times New Roman" w:cs="Times New Roman"/>
          <w:bCs/>
          <w:i/>
          <w:iCs/>
          <w:noProof/>
          <w:sz w:val="22"/>
          <w:lang w:val="en-PH"/>
        </w:rPr>
        <w:t>Journal for Research in Mathematics Education, 33</w:t>
      </w:r>
      <w:r w:rsidRPr="00DB4F78">
        <w:rPr>
          <w:rFonts w:ascii="Times New Roman" w:eastAsia="Times New Roman" w:hAnsi="Times New Roman" w:cs="Times New Roman"/>
          <w:bCs/>
          <w:noProof/>
          <w:sz w:val="22"/>
          <w:lang w:val="en-PH"/>
        </w:rPr>
        <w:t xml:space="preserve">(4), 239–258. </w:t>
      </w:r>
      <w:hyperlink r:id="rId13" w:tgtFrame="_new" w:history="1">
        <w:r w:rsidRPr="00DB4F78">
          <w:rPr>
            <w:rStyle w:val="Hyperlink"/>
            <w:rFonts w:ascii="Times New Roman" w:eastAsia="Times New Roman" w:hAnsi="Times New Roman" w:cs="Times New Roman"/>
            <w:bCs/>
            <w:noProof/>
            <w:sz w:val="22"/>
            <w:lang w:val="en-PH"/>
          </w:rPr>
          <w:t>https://doi.org/10.2307/4149959</w:t>
        </w:r>
      </w:hyperlink>
    </w:p>
    <w:p w14:paraId="69D4AE2A"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Boss, S., &amp; Krauss, J. (2022). </w:t>
      </w:r>
      <w:r w:rsidRPr="00DB4F78">
        <w:rPr>
          <w:rFonts w:ascii="Times New Roman" w:eastAsia="Times New Roman" w:hAnsi="Times New Roman" w:cs="Times New Roman"/>
          <w:bCs/>
          <w:i/>
          <w:iCs/>
          <w:noProof/>
          <w:sz w:val="22"/>
          <w:lang w:val="en-PH"/>
        </w:rPr>
        <w:t>Reinventing project-based learning</w:t>
      </w:r>
      <w:r w:rsidRPr="00DB4F78">
        <w:rPr>
          <w:rFonts w:ascii="Times New Roman" w:eastAsia="Times New Roman" w:hAnsi="Times New Roman" w:cs="Times New Roman"/>
          <w:bCs/>
          <w:noProof/>
          <w:sz w:val="22"/>
          <w:lang w:val="en-PH"/>
        </w:rPr>
        <w:t xml:space="preserve">. Retrieved May 2, 2025, from </w:t>
      </w:r>
      <w:hyperlink r:id="rId14" w:tgtFrame="_new" w:history="1">
        <w:r w:rsidRPr="00DB4F78">
          <w:rPr>
            <w:rStyle w:val="Hyperlink"/>
            <w:rFonts w:ascii="Times New Roman" w:eastAsia="Times New Roman" w:hAnsi="Times New Roman" w:cs="Times New Roman"/>
            <w:bCs/>
            <w:noProof/>
            <w:sz w:val="22"/>
            <w:lang w:val="en-PH"/>
          </w:rPr>
          <w:t>https://tinyurl.com/558mum7c</w:t>
        </w:r>
      </w:hyperlink>
    </w:p>
    <w:p w14:paraId="1F2A648A"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Bukari, H. I. (2020). Using problem-based learning to enhance junior high school students’ understanding and attitude towards linear equations word problems. </w:t>
      </w:r>
      <w:r w:rsidRPr="00DB4F78">
        <w:rPr>
          <w:rFonts w:ascii="Times New Roman" w:eastAsia="Times New Roman" w:hAnsi="Times New Roman" w:cs="Times New Roman"/>
          <w:bCs/>
          <w:i/>
          <w:iCs/>
          <w:noProof/>
          <w:sz w:val="22"/>
          <w:lang w:val="en-PH"/>
        </w:rPr>
        <w:t>Journal of Education and Practice, 10</w:t>
      </w:r>
      <w:r w:rsidRPr="00DB4F78">
        <w:rPr>
          <w:rFonts w:ascii="Times New Roman" w:eastAsia="Times New Roman" w:hAnsi="Times New Roman" w:cs="Times New Roman"/>
          <w:bCs/>
          <w:noProof/>
          <w:sz w:val="22"/>
          <w:lang w:val="en-PH"/>
        </w:rPr>
        <w:t xml:space="preserve">(3), 14–20. </w:t>
      </w:r>
      <w:hyperlink r:id="rId15" w:tgtFrame="_new" w:history="1">
        <w:r w:rsidRPr="00DB4F78">
          <w:rPr>
            <w:rStyle w:val="Hyperlink"/>
            <w:rFonts w:ascii="Times New Roman" w:eastAsia="Times New Roman" w:hAnsi="Times New Roman" w:cs="Times New Roman"/>
            <w:bCs/>
            <w:noProof/>
            <w:sz w:val="22"/>
            <w:lang w:val="en-PH"/>
          </w:rPr>
          <w:t>https://doi.org/10.7176/JEP/10-3-14</w:t>
        </w:r>
      </w:hyperlink>
    </w:p>
    <w:p w14:paraId="385FCF76"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Danielson, C. (2007). </w:t>
      </w:r>
      <w:r w:rsidRPr="00DB4F78">
        <w:rPr>
          <w:rFonts w:ascii="Times New Roman" w:eastAsia="Times New Roman" w:hAnsi="Times New Roman" w:cs="Times New Roman"/>
          <w:bCs/>
          <w:i/>
          <w:iCs/>
          <w:noProof/>
          <w:sz w:val="22"/>
          <w:lang w:val="en-PH"/>
        </w:rPr>
        <w:t>Enhancing professional practice: A framework for teaching</w:t>
      </w:r>
      <w:r w:rsidRPr="00DB4F78">
        <w:rPr>
          <w:rFonts w:ascii="Times New Roman" w:eastAsia="Times New Roman" w:hAnsi="Times New Roman" w:cs="Times New Roman"/>
          <w:bCs/>
          <w:noProof/>
          <w:sz w:val="22"/>
          <w:lang w:val="en-PH"/>
        </w:rPr>
        <w:t xml:space="preserve"> (2nd ed.). ASCD.</w:t>
      </w:r>
    </w:p>
    <w:p w14:paraId="4EA6A6BA"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Egbe, B. O., &amp; Anyaegbunnam, N. J. (2017). The effects of interactive instructional strategies on students’ achievement in mathematics. </w:t>
      </w:r>
      <w:r w:rsidRPr="00DB4F78">
        <w:rPr>
          <w:rFonts w:ascii="Times New Roman" w:eastAsia="Times New Roman" w:hAnsi="Times New Roman" w:cs="Times New Roman"/>
          <w:bCs/>
          <w:i/>
          <w:iCs/>
          <w:noProof/>
          <w:sz w:val="22"/>
          <w:lang w:val="en-PH"/>
        </w:rPr>
        <w:t>European Journal of Educational and Development Psychology, 5</w:t>
      </w:r>
      <w:r w:rsidRPr="00DB4F78">
        <w:rPr>
          <w:rFonts w:ascii="Times New Roman" w:eastAsia="Times New Roman" w:hAnsi="Times New Roman" w:cs="Times New Roman"/>
          <w:bCs/>
          <w:noProof/>
          <w:sz w:val="22"/>
          <w:lang w:val="en-PH"/>
        </w:rPr>
        <w:t>(3), 19–27.</w:t>
      </w:r>
    </w:p>
    <w:p w14:paraId="6A5704A2"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Eroglu, D., &amp; Unlu, M. (2022). Effects of project-based learning on students’ academic achievement and attitudes: A meta-analysis study. </w:t>
      </w:r>
      <w:r w:rsidRPr="00DB4F78">
        <w:rPr>
          <w:rFonts w:ascii="Times New Roman" w:eastAsia="Times New Roman" w:hAnsi="Times New Roman" w:cs="Times New Roman"/>
          <w:bCs/>
          <w:i/>
          <w:iCs/>
          <w:noProof/>
          <w:sz w:val="22"/>
          <w:lang w:val="en-PH"/>
        </w:rPr>
        <w:t>Educational Policy Analysis and Strategic Research, 17</w:t>
      </w:r>
      <w:r w:rsidRPr="00DB4F78">
        <w:rPr>
          <w:rFonts w:ascii="Times New Roman" w:eastAsia="Times New Roman" w:hAnsi="Times New Roman" w:cs="Times New Roman"/>
          <w:bCs/>
          <w:noProof/>
          <w:sz w:val="22"/>
          <w:lang w:val="en-PH"/>
        </w:rPr>
        <w:t>(2), 92–116.</w:t>
      </w:r>
    </w:p>
    <w:p w14:paraId="2759BD9A"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Fang, Y., Wang, D., &amp; Zhou, W. (2022). Barriers to project-based learning implementation in K-12: A review of literature. </w:t>
      </w:r>
      <w:r w:rsidRPr="00DB4F78">
        <w:rPr>
          <w:rFonts w:ascii="Times New Roman" w:eastAsia="Times New Roman" w:hAnsi="Times New Roman" w:cs="Times New Roman"/>
          <w:bCs/>
          <w:i/>
          <w:iCs/>
          <w:noProof/>
          <w:sz w:val="22"/>
          <w:lang w:val="en-PH"/>
        </w:rPr>
        <w:t>Journal of Research in Innovative Teaching &amp; Learning, 15</w:t>
      </w:r>
      <w:r w:rsidRPr="00DB4F78">
        <w:rPr>
          <w:rFonts w:ascii="Times New Roman" w:eastAsia="Times New Roman" w:hAnsi="Times New Roman" w:cs="Times New Roman"/>
          <w:bCs/>
          <w:noProof/>
          <w:sz w:val="22"/>
          <w:lang w:val="en-PH"/>
        </w:rPr>
        <w:t>(2), 112–127.</w:t>
      </w:r>
    </w:p>
    <w:p w14:paraId="38CB955D"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Fisher, D., Kusumah, Y. S., &amp; Dahlan, J. A. (2020). Project-based learning in mathematics: A literatur review. </w:t>
      </w:r>
      <w:r w:rsidRPr="00DB4F78">
        <w:rPr>
          <w:rFonts w:ascii="Times New Roman" w:eastAsia="Times New Roman" w:hAnsi="Times New Roman" w:cs="Times New Roman"/>
          <w:bCs/>
          <w:i/>
          <w:iCs/>
          <w:noProof/>
          <w:sz w:val="22"/>
          <w:lang w:val="en-PH"/>
        </w:rPr>
        <w:t>Journal of Physics: Conference Series, 1657</w:t>
      </w:r>
      <w:r w:rsidRPr="00DB4F78">
        <w:rPr>
          <w:rFonts w:ascii="Times New Roman" w:eastAsia="Times New Roman" w:hAnsi="Times New Roman" w:cs="Times New Roman"/>
          <w:bCs/>
          <w:noProof/>
          <w:sz w:val="22"/>
          <w:lang w:val="en-PH"/>
        </w:rPr>
        <w:t xml:space="preserve">(1), 012032. </w:t>
      </w:r>
      <w:hyperlink r:id="rId16" w:tgtFrame="_new" w:history="1">
        <w:r w:rsidRPr="00DB4F78">
          <w:rPr>
            <w:rStyle w:val="Hyperlink"/>
            <w:rFonts w:ascii="Times New Roman" w:eastAsia="Times New Roman" w:hAnsi="Times New Roman" w:cs="Times New Roman"/>
            <w:bCs/>
            <w:noProof/>
            <w:sz w:val="22"/>
            <w:lang w:val="en-PH"/>
          </w:rPr>
          <w:t>https://doi.org/10.1088/1742-6596/1657/1/012032</w:t>
        </w:r>
      </w:hyperlink>
    </w:p>
    <w:p w14:paraId="752DD125"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Guvenc, H. (2021). The effect of project-based learning on students’ attitudes toward mathematics. </w:t>
      </w:r>
      <w:r w:rsidRPr="00DB4F78">
        <w:rPr>
          <w:rFonts w:ascii="Times New Roman" w:eastAsia="Times New Roman" w:hAnsi="Times New Roman" w:cs="Times New Roman"/>
          <w:bCs/>
          <w:i/>
          <w:iCs/>
          <w:noProof/>
          <w:sz w:val="22"/>
          <w:lang w:val="en-PH"/>
        </w:rPr>
        <w:t>Journal of Pedagogical Research, 5</w:t>
      </w:r>
      <w:r w:rsidRPr="00DB4F78">
        <w:rPr>
          <w:rFonts w:ascii="Times New Roman" w:eastAsia="Times New Roman" w:hAnsi="Times New Roman" w:cs="Times New Roman"/>
          <w:bCs/>
          <w:noProof/>
          <w:sz w:val="22"/>
          <w:lang w:val="en-PH"/>
        </w:rPr>
        <w:t>(1), 1–16.</w:t>
      </w:r>
    </w:p>
    <w:p w14:paraId="79BD79C4"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Han, S., Capraro, R., &amp; Capraro, M. M. (2015). How science, technology, engineering, and mathematics (STEM) project-based learning affects high-need students in the U.S. </w:t>
      </w:r>
      <w:r w:rsidRPr="00DB4F78">
        <w:rPr>
          <w:rFonts w:ascii="Times New Roman" w:eastAsia="Times New Roman" w:hAnsi="Times New Roman" w:cs="Times New Roman"/>
          <w:bCs/>
          <w:i/>
          <w:iCs/>
          <w:noProof/>
          <w:sz w:val="22"/>
          <w:lang w:val="en-PH"/>
        </w:rPr>
        <w:t>Learning and Individual Differences, 51</w:t>
      </w:r>
      <w:r w:rsidRPr="00DB4F78">
        <w:rPr>
          <w:rFonts w:ascii="Times New Roman" w:eastAsia="Times New Roman" w:hAnsi="Times New Roman" w:cs="Times New Roman"/>
          <w:bCs/>
          <w:noProof/>
          <w:sz w:val="22"/>
          <w:lang w:val="en-PH"/>
        </w:rPr>
        <w:t xml:space="preserve">, 157–166. </w:t>
      </w:r>
      <w:hyperlink r:id="rId17" w:tgtFrame="_new" w:history="1">
        <w:r w:rsidRPr="00DB4F78">
          <w:rPr>
            <w:rStyle w:val="Hyperlink"/>
            <w:rFonts w:ascii="Times New Roman" w:eastAsia="Times New Roman" w:hAnsi="Times New Roman" w:cs="Times New Roman"/>
            <w:bCs/>
            <w:noProof/>
            <w:sz w:val="22"/>
            <w:lang w:val="en-PH"/>
          </w:rPr>
          <w:t>https://doi.org/10.1016/j.lindif.2016.08.001</w:t>
        </w:r>
      </w:hyperlink>
    </w:p>
    <w:p w14:paraId="74F541D2"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Hasanah, U., &amp; Surya, E. (2020). The effectiveness of project-based learning model in increasing students’ mathematical problem-solving ability and self-confidence. </w:t>
      </w:r>
      <w:r w:rsidRPr="00DB4F78">
        <w:rPr>
          <w:rFonts w:ascii="Times New Roman" w:eastAsia="Times New Roman" w:hAnsi="Times New Roman" w:cs="Times New Roman"/>
          <w:bCs/>
          <w:i/>
          <w:iCs/>
          <w:noProof/>
          <w:sz w:val="22"/>
          <w:lang w:val="en-PH"/>
        </w:rPr>
        <w:t>International Journal of Sciences: Basic and Applied Research, 51</w:t>
      </w:r>
      <w:r w:rsidRPr="00DB4F78">
        <w:rPr>
          <w:rFonts w:ascii="Times New Roman" w:eastAsia="Times New Roman" w:hAnsi="Times New Roman" w:cs="Times New Roman"/>
          <w:bCs/>
          <w:noProof/>
          <w:sz w:val="22"/>
          <w:lang w:val="en-PH"/>
        </w:rPr>
        <w:t>(1), 111–120.</w:t>
      </w:r>
    </w:p>
    <w:p w14:paraId="7FEB0B99"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Holmlund, A. (2024). How numbers influence students when solving linear equations. </w:t>
      </w:r>
      <w:r w:rsidRPr="00DB4F78">
        <w:rPr>
          <w:rFonts w:ascii="Times New Roman" w:eastAsia="Times New Roman" w:hAnsi="Times New Roman" w:cs="Times New Roman"/>
          <w:bCs/>
          <w:i/>
          <w:iCs/>
          <w:noProof/>
          <w:sz w:val="22"/>
          <w:lang w:val="en-PH"/>
        </w:rPr>
        <w:t>Mathematical Thinking and Learning</w:t>
      </w:r>
      <w:r w:rsidRPr="00DB4F78">
        <w:rPr>
          <w:rFonts w:ascii="Times New Roman" w:eastAsia="Times New Roman" w:hAnsi="Times New Roman" w:cs="Times New Roman"/>
          <w:bCs/>
          <w:noProof/>
          <w:sz w:val="22"/>
          <w:lang w:val="en-PH"/>
        </w:rPr>
        <w:t xml:space="preserve">, 1–18. </w:t>
      </w:r>
      <w:hyperlink r:id="rId18" w:tgtFrame="_new" w:history="1">
        <w:r w:rsidRPr="00DB4F78">
          <w:rPr>
            <w:rStyle w:val="Hyperlink"/>
            <w:rFonts w:ascii="Times New Roman" w:eastAsia="Times New Roman" w:hAnsi="Times New Roman" w:cs="Times New Roman"/>
            <w:bCs/>
            <w:noProof/>
            <w:sz w:val="22"/>
            <w:lang w:val="en-PH"/>
          </w:rPr>
          <w:t>https://doi.org/10.1080/10986065.2024.2314067</w:t>
        </w:r>
      </w:hyperlink>
    </w:p>
    <w:p w14:paraId="7728E597"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Jacques, L. A. (2017). What does project-based learning (PBL) look like in the mathematics classroom? </w:t>
      </w:r>
      <w:r w:rsidRPr="00DB4F78">
        <w:rPr>
          <w:rFonts w:ascii="Times New Roman" w:eastAsia="Times New Roman" w:hAnsi="Times New Roman" w:cs="Times New Roman"/>
          <w:bCs/>
          <w:i/>
          <w:iCs/>
          <w:noProof/>
          <w:sz w:val="22"/>
          <w:lang w:val="en-PH"/>
        </w:rPr>
        <w:t>American Journal of Educational Research, 5</w:t>
      </w:r>
      <w:r w:rsidRPr="00DB4F78">
        <w:rPr>
          <w:rFonts w:ascii="Times New Roman" w:eastAsia="Times New Roman" w:hAnsi="Times New Roman" w:cs="Times New Roman"/>
          <w:bCs/>
          <w:noProof/>
          <w:sz w:val="22"/>
          <w:lang w:val="en-PH"/>
        </w:rPr>
        <w:t>(4), 428–433. https://doi.org/10.12691/education-5-4-11</w:t>
      </w:r>
    </w:p>
    <w:p w14:paraId="76FCB92E"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lastRenderedPageBreak/>
        <w:t xml:space="preserve">Karjanto, N., &amp; Acelajado, M. J. (2022). Sustainable learning, cognitive gains, and improved attitudes in College Algebra flipped classrooms. </w:t>
      </w:r>
      <w:r w:rsidRPr="00DB4F78">
        <w:rPr>
          <w:rFonts w:ascii="Times New Roman" w:eastAsia="Times New Roman" w:hAnsi="Times New Roman" w:cs="Times New Roman"/>
          <w:bCs/>
          <w:i/>
          <w:iCs/>
          <w:noProof/>
          <w:sz w:val="22"/>
          <w:lang w:val="en-PH"/>
        </w:rPr>
        <w:t>arXiv</w:t>
      </w:r>
      <w:r w:rsidRPr="00DB4F78">
        <w:rPr>
          <w:rFonts w:ascii="Times New Roman" w:eastAsia="Times New Roman" w:hAnsi="Times New Roman" w:cs="Times New Roman"/>
          <w:bCs/>
          <w:noProof/>
          <w:sz w:val="22"/>
          <w:lang w:val="en-PH"/>
        </w:rPr>
        <w:t xml:space="preserve">. </w:t>
      </w:r>
      <w:hyperlink r:id="rId19" w:tgtFrame="_new" w:history="1">
        <w:r w:rsidRPr="00DB4F78">
          <w:rPr>
            <w:rStyle w:val="Hyperlink"/>
            <w:rFonts w:ascii="Times New Roman" w:eastAsia="Times New Roman" w:hAnsi="Times New Roman" w:cs="Times New Roman"/>
            <w:bCs/>
            <w:noProof/>
            <w:sz w:val="22"/>
            <w:lang w:val="en-PH"/>
          </w:rPr>
          <w:t>https://doi.org/10.48550/arXiv.2210.15979</w:t>
        </w:r>
      </w:hyperlink>
    </w:p>
    <w:p w14:paraId="58590622"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Larmer, J., Mergendoller, J. R., &amp; Boss, S. (2015). Gold standard PBL: Essential project design elements. </w:t>
      </w:r>
      <w:r w:rsidRPr="00DB4F78">
        <w:rPr>
          <w:rFonts w:ascii="Times New Roman" w:eastAsia="Times New Roman" w:hAnsi="Times New Roman" w:cs="Times New Roman"/>
          <w:bCs/>
          <w:i/>
          <w:iCs/>
          <w:noProof/>
          <w:sz w:val="22"/>
          <w:lang w:val="en-PH"/>
        </w:rPr>
        <w:t>Buck Institute for Education</w:t>
      </w:r>
      <w:r w:rsidRPr="00DB4F78">
        <w:rPr>
          <w:rFonts w:ascii="Times New Roman" w:eastAsia="Times New Roman" w:hAnsi="Times New Roman" w:cs="Times New Roman"/>
          <w:bCs/>
          <w:noProof/>
          <w:sz w:val="22"/>
          <w:lang w:val="en-PH"/>
        </w:rPr>
        <w:t xml:space="preserve">. </w:t>
      </w:r>
      <w:hyperlink r:id="rId20" w:tgtFrame="_new" w:history="1">
        <w:r w:rsidRPr="00DB4F78">
          <w:rPr>
            <w:rStyle w:val="Hyperlink"/>
            <w:rFonts w:ascii="Times New Roman" w:eastAsia="Times New Roman" w:hAnsi="Times New Roman" w:cs="Times New Roman"/>
            <w:bCs/>
            <w:noProof/>
            <w:sz w:val="22"/>
            <w:lang w:val="en-PH"/>
          </w:rPr>
          <w:t>https://www.pblworks.org/blog/gold-standard-pbl-essential-project-design-elements</w:t>
        </w:r>
      </w:hyperlink>
    </w:p>
    <w:p w14:paraId="6A4D19E5"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Lucas Education Research. (2021a). </w:t>
      </w:r>
      <w:r w:rsidRPr="00DB4F78">
        <w:rPr>
          <w:rFonts w:ascii="Times New Roman" w:eastAsia="Times New Roman" w:hAnsi="Times New Roman" w:cs="Times New Roman"/>
          <w:bCs/>
          <w:i/>
          <w:iCs/>
          <w:noProof/>
          <w:sz w:val="22"/>
          <w:lang w:val="en-PH"/>
        </w:rPr>
        <w:t>Rigorous project-based learning is a powerful lever for improving equity</w:t>
      </w:r>
      <w:r w:rsidRPr="00DB4F78">
        <w:rPr>
          <w:rFonts w:ascii="Times New Roman" w:eastAsia="Times New Roman" w:hAnsi="Times New Roman" w:cs="Times New Roman"/>
          <w:bCs/>
          <w:noProof/>
          <w:sz w:val="22"/>
          <w:lang w:val="en-PH"/>
        </w:rPr>
        <w:t>. Lucas Education Research.</w:t>
      </w:r>
    </w:p>
    <w:p w14:paraId="2AE75456"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Lucas Education Research. (2021b). </w:t>
      </w:r>
      <w:r w:rsidRPr="00DB4F78">
        <w:rPr>
          <w:rFonts w:ascii="Times New Roman" w:eastAsia="Times New Roman" w:hAnsi="Times New Roman" w:cs="Times New Roman"/>
          <w:bCs/>
          <w:i/>
          <w:iCs/>
          <w:noProof/>
          <w:sz w:val="22"/>
          <w:lang w:val="en-PH"/>
        </w:rPr>
        <w:t>The evidence is clear: Rigorous project-based learning is an effective lever for student success</w:t>
      </w:r>
      <w:r w:rsidRPr="00DB4F78">
        <w:rPr>
          <w:rFonts w:ascii="Times New Roman" w:eastAsia="Times New Roman" w:hAnsi="Times New Roman" w:cs="Times New Roman"/>
          <w:bCs/>
          <w:noProof/>
          <w:sz w:val="22"/>
          <w:lang w:val="en-PH"/>
        </w:rPr>
        <w:t>. Lucas Education Research.</w:t>
      </w:r>
    </w:p>
    <w:p w14:paraId="079B4189"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PBLWorks (Buck Institute for Education). (2022). </w:t>
      </w:r>
      <w:r w:rsidRPr="00DB4F78">
        <w:rPr>
          <w:rFonts w:ascii="Times New Roman" w:eastAsia="Times New Roman" w:hAnsi="Times New Roman" w:cs="Times New Roman"/>
          <w:bCs/>
          <w:i/>
          <w:iCs/>
          <w:noProof/>
          <w:sz w:val="22"/>
          <w:lang w:val="en-PH"/>
        </w:rPr>
        <w:t>Gold standard PBL: Essential project design elements</w:t>
      </w:r>
      <w:r w:rsidRPr="00DB4F78">
        <w:rPr>
          <w:rFonts w:ascii="Times New Roman" w:eastAsia="Times New Roman" w:hAnsi="Times New Roman" w:cs="Times New Roman"/>
          <w:bCs/>
          <w:noProof/>
          <w:sz w:val="22"/>
          <w:lang w:val="en-PH"/>
        </w:rPr>
        <w:t xml:space="preserve">. </w:t>
      </w:r>
      <w:hyperlink r:id="rId21" w:tgtFrame="_new" w:history="1">
        <w:r w:rsidRPr="00DB4F78">
          <w:rPr>
            <w:rStyle w:val="Hyperlink"/>
            <w:rFonts w:ascii="Times New Roman" w:eastAsia="Times New Roman" w:hAnsi="Times New Roman" w:cs="Times New Roman"/>
            <w:bCs/>
            <w:noProof/>
            <w:sz w:val="22"/>
            <w:lang w:val="en-PH"/>
          </w:rPr>
          <w:t>https://www.pblworks.org</w:t>
        </w:r>
      </w:hyperlink>
    </w:p>
    <w:p w14:paraId="6A2DD386"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Ridha Syahdia, M., Alimuddin, M., Patras, Y. E., &amp; Hasanah, A. (2024). Challenges in implementing project-based learning at the secondary school level: A cross-national perspective. </w:t>
      </w:r>
      <w:r w:rsidRPr="00DB4F78">
        <w:rPr>
          <w:rFonts w:ascii="Times New Roman" w:eastAsia="Times New Roman" w:hAnsi="Times New Roman" w:cs="Times New Roman"/>
          <w:bCs/>
          <w:i/>
          <w:iCs/>
          <w:noProof/>
          <w:sz w:val="22"/>
          <w:lang w:val="en-PH"/>
        </w:rPr>
        <w:t>Educational Sciences Journal, 4</w:t>
      </w:r>
      <w:r w:rsidRPr="00DB4F78">
        <w:rPr>
          <w:rFonts w:ascii="Times New Roman" w:eastAsia="Times New Roman" w:hAnsi="Times New Roman" w:cs="Times New Roman"/>
          <w:bCs/>
          <w:noProof/>
          <w:sz w:val="22"/>
          <w:lang w:val="en-PH"/>
        </w:rPr>
        <w:t>(2), 101–113.</w:t>
      </w:r>
    </w:p>
    <w:p w14:paraId="7B18A2B4" w14:textId="77777777" w:rsidR="00784330" w:rsidRDefault="00784330" w:rsidP="004B0820">
      <w:pPr>
        <w:spacing w:after="0"/>
        <w:ind w:left="720" w:hanging="720"/>
      </w:pPr>
      <w:r>
        <w:t xml:space="preserve">Santos, L. G. (2024). </w:t>
      </w:r>
      <w:r>
        <w:rPr>
          <w:rStyle w:val="Emphasis"/>
        </w:rPr>
        <w:t xml:space="preserve">Exploring service quality and pricing ethics of motorcycle drivers in </w:t>
      </w:r>
      <w:proofErr w:type="spellStart"/>
      <w:r>
        <w:rPr>
          <w:rStyle w:val="Emphasis"/>
        </w:rPr>
        <w:t>cabanatuan</w:t>
      </w:r>
      <w:proofErr w:type="spellEnd"/>
      <w:r>
        <w:rPr>
          <w:rStyle w:val="Emphasis"/>
        </w:rPr>
        <w:t>: Perspectives of student clients.</w:t>
      </w:r>
      <w:r>
        <w:t xml:space="preserve"> Available at SSRN 5239933.</w:t>
      </w:r>
    </w:p>
    <w:p w14:paraId="7B26CA39"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Sarican, G., &amp; Akgunduz, D. (2020). The effect of STEM education on students' attitudes toward science, mathematics, and technology: A meta-analysis. </w:t>
      </w:r>
      <w:r w:rsidRPr="00DB4F78">
        <w:rPr>
          <w:rFonts w:ascii="Times New Roman" w:eastAsia="Times New Roman" w:hAnsi="Times New Roman" w:cs="Times New Roman"/>
          <w:bCs/>
          <w:i/>
          <w:iCs/>
          <w:noProof/>
          <w:sz w:val="22"/>
          <w:lang w:val="en-PH"/>
        </w:rPr>
        <w:t>Education and Science, 45</w:t>
      </w:r>
      <w:r w:rsidRPr="00DB4F78">
        <w:rPr>
          <w:rFonts w:ascii="Times New Roman" w:eastAsia="Times New Roman" w:hAnsi="Times New Roman" w:cs="Times New Roman"/>
          <w:bCs/>
          <w:noProof/>
          <w:sz w:val="22"/>
          <w:lang w:val="en-PH"/>
        </w:rPr>
        <w:t>(204), 43–67.</w:t>
      </w:r>
    </w:p>
    <w:p w14:paraId="1A28F035"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Thomas, J. W. (2000). </w:t>
      </w:r>
      <w:r w:rsidRPr="00DB4F78">
        <w:rPr>
          <w:rFonts w:ascii="Times New Roman" w:eastAsia="Times New Roman" w:hAnsi="Times New Roman" w:cs="Times New Roman"/>
          <w:bCs/>
          <w:i/>
          <w:iCs/>
          <w:noProof/>
          <w:sz w:val="22"/>
          <w:lang w:val="en-PH"/>
        </w:rPr>
        <w:t>A review of research on project-based learning</w:t>
      </w:r>
      <w:r w:rsidRPr="00DB4F78">
        <w:rPr>
          <w:rFonts w:ascii="Times New Roman" w:eastAsia="Times New Roman" w:hAnsi="Times New Roman" w:cs="Times New Roman"/>
          <w:bCs/>
          <w:noProof/>
          <w:sz w:val="22"/>
          <w:lang w:val="en-PH"/>
        </w:rPr>
        <w:t>. The Autodesk Foundation.</w:t>
      </w:r>
    </w:p>
    <w:p w14:paraId="2F93F2B4"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Viro, E., et al. (2020). Teachers’ perspective on project-based learning in mathematics and science. </w:t>
      </w:r>
      <w:r w:rsidRPr="00DB4F78">
        <w:rPr>
          <w:rFonts w:ascii="Times New Roman" w:eastAsia="Times New Roman" w:hAnsi="Times New Roman" w:cs="Times New Roman"/>
          <w:bCs/>
          <w:i/>
          <w:iCs/>
          <w:noProof/>
          <w:sz w:val="22"/>
          <w:lang w:val="en-PH"/>
        </w:rPr>
        <w:t>European Journal of Science and Mathematics Education, 8</w:t>
      </w:r>
      <w:r w:rsidRPr="00DB4F78">
        <w:rPr>
          <w:rFonts w:ascii="Times New Roman" w:eastAsia="Times New Roman" w:hAnsi="Times New Roman" w:cs="Times New Roman"/>
          <w:bCs/>
          <w:noProof/>
          <w:sz w:val="22"/>
          <w:lang w:val="en-PH"/>
        </w:rPr>
        <w:t>(1), 12–31.</w:t>
      </w:r>
    </w:p>
    <w:p w14:paraId="59D2A7E0"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Viro, E., Lehtinen, E., &amp; Järvelä, S. (2020). Teachers’ challenges in implementing project-based learning in technology education. </w:t>
      </w:r>
      <w:r w:rsidRPr="00DB4F78">
        <w:rPr>
          <w:rFonts w:ascii="Times New Roman" w:eastAsia="Times New Roman" w:hAnsi="Times New Roman" w:cs="Times New Roman"/>
          <w:bCs/>
          <w:i/>
          <w:iCs/>
          <w:noProof/>
          <w:sz w:val="22"/>
          <w:lang w:val="en-PH"/>
        </w:rPr>
        <w:t>Research and Practice in Technology Enhanced Learning, 15</w:t>
      </w:r>
      <w:r w:rsidRPr="00DB4F78">
        <w:rPr>
          <w:rFonts w:ascii="Times New Roman" w:eastAsia="Times New Roman" w:hAnsi="Times New Roman" w:cs="Times New Roman"/>
          <w:bCs/>
          <w:noProof/>
          <w:sz w:val="22"/>
          <w:lang w:val="en-PH"/>
        </w:rPr>
        <w:t>(1), 1–16.</w:t>
      </w:r>
    </w:p>
    <w:p w14:paraId="017F16F8"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Vygotsky, L. S. (1978). </w:t>
      </w:r>
      <w:r w:rsidRPr="00DB4F78">
        <w:rPr>
          <w:rFonts w:ascii="Times New Roman" w:eastAsia="Times New Roman" w:hAnsi="Times New Roman" w:cs="Times New Roman"/>
          <w:bCs/>
          <w:i/>
          <w:iCs/>
          <w:noProof/>
          <w:sz w:val="22"/>
          <w:lang w:val="en-PH"/>
        </w:rPr>
        <w:t>Mind in society: The development of higher psychological processes</w:t>
      </w:r>
      <w:r w:rsidRPr="00DB4F78">
        <w:rPr>
          <w:rFonts w:ascii="Times New Roman" w:eastAsia="Times New Roman" w:hAnsi="Times New Roman" w:cs="Times New Roman"/>
          <w:bCs/>
          <w:noProof/>
          <w:sz w:val="22"/>
          <w:lang w:val="en-PH"/>
        </w:rPr>
        <w:t xml:space="preserve"> (M. Cole, V. John-Steiner, S. Scribner, &amp; E. Souberman, Eds.). Harvard University Press.</w:t>
      </w:r>
    </w:p>
    <w:p w14:paraId="03A0CC5D" w14:textId="77777777" w:rsidR="00784330" w:rsidRPr="00DB4F78" w:rsidRDefault="00784330" w:rsidP="004B0820">
      <w:pPr>
        <w:spacing w:after="0"/>
        <w:ind w:left="720" w:hanging="720"/>
        <w:rPr>
          <w:rFonts w:ascii="Times New Roman" w:eastAsia="Times New Roman" w:hAnsi="Times New Roman" w:cs="Times New Roman"/>
          <w:bCs/>
          <w:noProof/>
          <w:sz w:val="22"/>
          <w:lang w:val="en-PH"/>
        </w:rPr>
      </w:pPr>
      <w:r w:rsidRPr="00DB4F78">
        <w:rPr>
          <w:rFonts w:ascii="Times New Roman" w:eastAsia="Times New Roman" w:hAnsi="Times New Roman" w:cs="Times New Roman"/>
          <w:bCs/>
          <w:noProof/>
          <w:sz w:val="22"/>
          <w:lang w:val="en-PH"/>
        </w:rPr>
        <w:t xml:space="preserve">Vygotsky, L. S. (1986). </w:t>
      </w:r>
      <w:r w:rsidRPr="00DB4F78">
        <w:rPr>
          <w:rFonts w:ascii="Times New Roman" w:eastAsia="Times New Roman" w:hAnsi="Times New Roman" w:cs="Times New Roman"/>
          <w:bCs/>
          <w:i/>
          <w:iCs/>
          <w:noProof/>
          <w:sz w:val="22"/>
          <w:lang w:val="en-PH"/>
        </w:rPr>
        <w:t>Thought and language</w:t>
      </w:r>
      <w:r w:rsidRPr="00DB4F78">
        <w:rPr>
          <w:rFonts w:ascii="Times New Roman" w:eastAsia="Times New Roman" w:hAnsi="Times New Roman" w:cs="Times New Roman"/>
          <w:bCs/>
          <w:noProof/>
          <w:sz w:val="22"/>
          <w:lang w:val="en-PH"/>
        </w:rPr>
        <w:t xml:space="preserve"> (A. Kozulin, Ed. &amp; Trans.). MIT Press.</w:t>
      </w:r>
    </w:p>
    <w:sectPr w:rsidR="00784330" w:rsidRPr="00DB4F78" w:rsidSect="005F46B3">
      <w:headerReference w:type="even" r:id="rId22"/>
      <w:headerReference w:type="default" r:id="rId23"/>
      <w:footerReference w:type="default" r:id="rId24"/>
      <w:headerReference w:type="first" r:id="rId25"/>
      <w:footerReference w:type="first" r:id="rId26"/>
      <w:type w:val="continuous"/>
      <w:pgSz w:w="11909" w:h="16834" w:code="9"/>
      <w:pgMar w:top="1440" w:right="1080" w:bottom="1440" w:left="1080" w:header="283" w:footer="144" w:gutter="0"/>
      <w:pgNumType w:start="29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912C5" w14:textId="77777777" w:rsidR="00BA4C93" w:rsidRPr="003D7BB2" w:rsidRDefault="00BA4C93" w:rsidP="005D1B76">
      <w:pPr>
        <w:pStyle w:val="WJS-k-CaptionsFiguresTables"/>
        <w:spacing w:before="0" w:after="0"/>
        <w:rPr>
          <w:sz w:val="19"/>
        </w:rPr>
      </w:pPr>
      <w:r>
        <w:separator/>
      </w:r>
    </w:p>
    <w:p w14:paraId="07D2001D" w14:textId="77777777" w:rsidR="00BA4C93" w:rsidRDefault="00BA4C93"/>
  </w:endnote>
  <w:endnote w:type="continuationSeparator" w:id="0">
    <w:p w14:paraId="24E5EC67" w14:textId="77777777" w:rsidR="00BA4C93" w:rsidRPr="003D7BB2" w:rsidRDefault="00BA4C93" w:rsidP="005D1B76">
      <w:pPr>
        <w:pStyle w:val="WJS-k-CaptionsFiguresTables"/>
        <w:spacing w:before="0" w:after="0"/>
        <w:rPr>
          <w:sz w:val="19"/>
        </w:rPr>
      </w:pPr>
      <w:r>
        <w:continuationSeparator/>
      </w:r>
    </w:p>
    <w:p w14:paraId="23AAF812" w14:textId="77777777" w:rsidR="00BA4C93" w:rsidRDefault="00BA4C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C5198" w14:textId="77777777" w:rsidR="0056197A" w:rsidRPr="0056197A" w:rsidRDefault="0056197A" w:rsidP="0056197A">
    <w:pPr>
      <w:tabs>
        <w:tab w:val="center" w:pos="4680"/>
        <w:tab w:val="right" w:pos="9180"/>
      </w:tabs>
      <w:suppressAutoHyphens/>
      <w:spacing w:after="0" w:line="276" w:lineRule="auto"/>
      <w:ind w:right="569"/>
      <w:jc w:val="right"/>
      <w:rPr>
        <w:rFonts w:ascii="Times New Roman" w:eastAsia="SimSun" w:hAnsi="Times New Roman" w:cs="Times New Roman"/>
        <w:b/>
        <w:bCs/>
        <w:color w:val="E36C0A"/>
        <w:sz w:val="19"/>
        <w:szCs w:val="19"/>
        <w:shd w:val="clear" w:color="auto" w:fill="FFFFFF"/>
        <w:lang w:val="en-PH" w:eastAsia="zh-CN"/>
      </w:rPr>
    </w:pPr>
    <w:r w:rsidRPr="0056197A">
      <w:rPr>
        <w:rFonts w:ascii="Times New Roman" w:eastAsia="SimSun" w:hAnsi="Times New Roman" w:cs="Times New Roman"/>
        <w:b/>
        <w:bCs/>
        <w:noProof/>
        <w:color w:val="002060"/>
        <w:sz w:val="22"/>
        <w:szCs w:val="20"/>
        <w:lang w:val="en-PH" w:eastAsia="zh-CN"/>
      </w:rPr>
      <mc:AlternateContent>
        <mc:Choice Requires="wps">
          <w:drawing>
            <wp:anchor distT="0" distB="0" distL="114300" distR="114300" simplePos="0" relativeHeight="251679744" behindDoc="0" locked="0" layoutInCell="1" allowOverlap="1" wp14:anchorId="516FB43E" wp14:editId="4562885D">
              <wp:simplePos x="0" y="0"/>
              <wp:positionH relativeFrom="column">
                <wp:posOffset>5920486</wp:posOffset>
              </wp:positionH>
              <wp:positionV relativeFrom="paragraph">
                <wp:posOffset>-42799</wp:posOffset>
              </wp:positionV>
              <wp:extent cx="0" cy="365760"/>
              <wp:effectExtent l="19050" t="0" r="19050" b="34290"/>
              <wp:wrapNone/>
              <wp:docPr id="1579319135" name="Straight Connector 2"/>
              <wp:cNvGraphicFramePr/>
              <a:graphic xmlns:a="http://schemas.openxmlformats.org/drawingml/2006/main">
                <a:graphicData uri="http://schemas.microsoft.com/office/word/2010/wordprocessingShape">
                  <wps:wsp>
                    <wps:cNvCnPr/>
                    <wps:spPr>
                      <a:xfrm>
                        <a:off x="0" y="0"/>
                        <a:ext cx="0" cy="365760"/>
                      </a:xfrm>
                      <a:prstGeom prst="line">
                        <a:avLst/>
                      </a:prstGeom>
                      <a:noFill/>
                      <a:ln w="28575"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4CC8D2C" id="Straight Connector 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6.2pt,-3.35pt" to="466.2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" strokecolor="#002060" strokeweight="2.25pt"/>
          </w:pict>
        </mc:Fallback>
      </mc:AlternateContent>
    </w:r>
    <w:r w:rsidRPr="0056197A">
      <w:rPr>
        <w:rFonts w:ascii="Times New Roman" w:eastAsia="SimSun" w:hAnsi="Times New Roman" w:cs="Times New Roman"/>
        <w:b/>
        <w:bCs/>
        <w:noProof/>
        <w:color w:val="E36C0A"/>
        <w:sz w:val="19"/>
        <w:szCs w:val="19"/>
        <w:lang w:val="en-PH" w:eastAsia="zh-CN"/>
      </w:rPr>
      <mc:AlternateContent>
        <mc:Choice Requires="wps">
          <w:drawing>
            <wp:anchor distT="45720" distB="45720" distL="114300" distR="114300" simplePos="0" relativeHeight="251678720" behindDoc="0" locked="0" layoutInCell="1" allowOverlap="1" wp14:anchorId="70162974" wp14:editId="1D4146E5">
              <wp:simplePos x="0" y="0"/>
              <wp:positionH relativeFrom="column">
                <wp:posOffset>5928360</wp:posOffset>
              </wp:positionH>
              <wp:positionV relativeFrom="paragraph">
                <wp:posOffset>7620</wp:posOffset>
              </wp:positionV>
              <wp:extent cx="543560" cy="29718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97180"/>
                      </a:xfrm>
                      <a:prstGeom prst="rect">
                        <a:avLst/>
                      </a:prstGeom>
                      <a:noFill/>
                      <a:ln w="9525">
                        <a:noFill/>
                        <a:miter lim="800000"/>
                        <a:headEnd/>
                        <a:tailEnd/>
                      </a:ln>
                    </wps:spPr>
                    <wps:txbx>
                      <w:txbxContent>
                        <w:sdt>
                          <w:sdtPr>
                            <w:rPr>
                              <w:b/>
                              <w:bCs/>
                              <w:color w:val="002060"/>
                              <w:sz w:val="22"/>
                              <w:szCs w:val="24"/>
                            </w:rPr>
                            <w:id w:val="-1830363600"/>
                            <w:docPartObj>
                              <w:docPartGallery w:val="Page Numbers (Bottom of Page)"/>
                              <w:docPartUnique/>
                            </w:docPartObj>
                          </w:sdtPr>
                          <w:sdtContent>
                            <w:p w14:paraId="65D9E3D0" w14:textId="77777777" w:rsidR="0056197A" w:rsidRPr="00D87EE5" w:rsidRDefault="0056197A" w:rsidP="0056197A">
                              <w:pPr>
                                <w:rPr>
                                  <w:b/>
                                  <w:bCs/>
                                  <w:color w:val="002060"/>
                                  <w:sz w:val="22"/>
                                  <w:szCs w:val="24"/>
                                </w:rPr>
                              </w:pPr>
                              <w:r w:rsidRPr="00D87EE5">
                                <w:rPr>
                                  <w:b/>
                                  <w:bCs/>
                                  <w:color w:val="002060"/>
                                  <w:sz w:val="22"/>
                                  <w:szCs w:val="24"/>
                                </w:rPr>
                                <w:fldChar w:fldCharType="begin"/>
                              </w:r>
                              <w:r w:rsidRPr="00D87EE5">
                                <w:rPr>
                                  <w:b/>
                                  <w:bCs/>
                                  <w:color w:val="002060"/>
                                  <w:sz w:val="22"/>
                                  <w:szCs w:val="24"/>
                                </w:rPr>
                                <w:instrText xml:space="preserve"> PAGE   \* MERGEFORMAT </w:instrText>
                              </w:r>
                              <w:r w:rsidRPr="00D87EE5">
                                <w:rPr>
                                  <w:b/>
                                  <w:bCs/>
                                  <w:color w:val="002060"/>
                                  <w:sz w:val="22"/>
                                  <w:szCs w:val="24"/>
                                </w:rPr>
                                <w:fldChar w:fldCharType="separate"/>
                              </w:r>
                              <w:r w:rsidRPr="00D87EE5">
                                <w:rPr>
                                  <w:b/>
                                  <w:bCs/>
                                  <w:color w:val="002060"/>
                                  <w:sz w:val="22"/>
                                  <w:szCs w:val="24"/>
                                </w:rPr>
                                <w:t>2</w:t>
                              </w:r>
                              <w:r w:rsidRPr="00D87EE5">
                                <w:rPr>
                                  <w:b/>
                                  <w:bCs/>
                                  <w:color w:val="002060"/>
                                  <w:sz w:val="22"/>
                                  <w:szCs w:val="24"/>
                                </w:rPr>
                                <w:fldChar w:fldCharType="end"/>
                              </w:r>
                            </w:p>
                            <w:p w14:paraId="73058577" w14:textId="77777777" w:rsidR="0056197A" w:rsidRPr="00D87EE5" w:rsidRDefault="00000000" w:rsidP="0056197A">
                              <w:pPr>
                                <w:rPr>
                                  <w:b/>
                                  <w:bCs/>
                                  <w:color w:val="002060"/>
                                  <w:sz w:val="22"/>
                                  <w:szCs w:val="24"/>
                                </w:rPr>
                              </w:pPr>
                            </w:p>
                          </w:sdtContent>
                        </w:sdt>
                        <w:p w14:paraId="35DE1D71" w14:textId="77777777" w:rsidR="0056197A" w:rsidRPr="00D87EE5" w:rsidRDefault="0056197A" w:rsidP="0056197A">
                          <w:pPr>
                            <w:rPr>
                              <w:b/>
                              <w:bCs/>
                              <w:color w:val="002060"/>
                              <w:sz w:val="22"/>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162974" id="_x0000_t202" coordsize="21600,21600" o:spt="202" path="m,l,21600r21600,l21600,xe">
              <v:stroke joinstyle="miter"/>
              <v:path gradientshapeok="t" o:connecttype="rect"/>
            </v:shapetype>
            <v:shape id="Text Box 2" o:spid="_x0000_s1026" type="#_x0000_t202" style="position:absolute;left:0;text-align:left;margin-left:466.8pt;margin-top:.6pt;width:42.8pt;height:23.4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" filled="f" stroked="f">
              <v:textbox>
                <w:txbxContent>
                  <w:sdt>
                    <w:sdtPr>
                      <w:rPr>
                        <w:b/>
                        <w:bCs/>
                        <w:color w:val="002060"/>
                        <w:sz w:val="22"/>
                        <w:szCs w:val="24"/>
                      </w:rPr>
                      <w:id w:val="-1830363600"/>
                      <w:docPartObj>
                        <w:docPartGallery w:val="Page Numbers (Bottom of Page)"/>
                        <w:docPartUnique/>
                      </w:docPartObj>
                    </w:sdtPr>
                    <w:sdtContent>
                      <w:p w14:paraId="65D9E3D0" w14:textId="77777777" w:rsidR="0056197A" w:rsidRPr="00D87EE5" w:rsidRDefault="0056197A" w:rsidP="0056197A">
                        <w:pPr>
                          <w:rPr>
                            <w:b/>
                            <w:bCs/>
                            <w:color w:val="002060"/>
                            <w:sz w:val="22"/>
                            <w:szCs w:val="24"/>
                          </w:rPr>
                        </w:pPr>
                        <w:r w:rsidRPr="00D87EE5">
                          <w:rPr>
                            <w:b/>
                            <w:bCs/>
                            <w:color w:val="002060"/>
                            <w:sz w:val="22"/>
                            <w:szCs w:val="24"/>
                          </w:rPr>
                          <w:fldChar w:fldCharType="begin"/>
                        </w:r>
                        <w:r w:rsidRPr="00D87EE5">
                          <w:rPr>
                            <w:b/>
                            <w:bCs/>
                            <w:color w:val="002060"/>
                            <w:sz w:val="22"/>
                            <w:szCs w:val="24"/>
                          </w:rPr>
                          <w:instrText xml:space="preserve"> PAGE   \* MERGEFORMAT </w:instrText>
                        </w:r>
                        <w:r w:rsidRPr="00D87EE5">
                          <w:rPr>
                            <w:b/>
                            <w:bCs/>
                            <w:color w:val="002060"/>
                            <w:sz w:val="22"/>
                            <w:szCs w:val="24"/>
                          </w:rPr>
                          <w:fldChar w:fldCharType="separate"/>
                        </w:r>
                        <w:r w:rsidRPr="00D87EE5">
                          <w:rPr>
                            <w:b/>
                            <w:bCs/>
                            <w:color w:val="002060"/>
                            <w:sz w:val="22"/>
                            <w:szCs w:val="24"/>
                          </w:rPr>
                          <w:t>2</w:t>
                        </w:r>
                        <w:r w:rsidRPr="00D87EE5">
                          <w:rPr>
                            <w:b/>
                            <w:bCs/>
                            <w:color w:val="002060"/>
                            <w:sz w:val="22"/>
                            <w:szCs w:val="24"/>
                          </w:rPr>
                          <w:fldChar w:fldCharType="end"/>
                        </w:r>
                      </w:p>
                      <w:p w14:paraId="73058577" w14:textId="77777777" w:rsidR="0056197A" w:rsidRPr="00D87EE5" w:rsidRDefault="00000000" w:rsidP="0056197A">
                        <w:pPr>
                          <w:rPr>
                            <w:b/>
                            <w:bCs/>
                            <w:color w:val="002060"/>
                            <w:sz w:val="22"/>
                            <w:szCs w:val="24"/>
                          </w:rPr>
                        </w:pPr>
                      </w:p>
                    </w:sdtContent>
                  </w:sdt>
                  <w:p w14:paraId="35DE1D71" w14:textId="77777777" w:rsidR="0056197A" w:rsidRPr="00D87EE5" w:rsidRDefault="0056197A" w:rsidP="0056197A">
                    <w:pPr>
                      <w:rPr>
                        <w:b/>
                        <w:bCs/>
                        <w:color w:val="002060"/>
                        <w:sz w:val="22"/>
                        <w:szCs w:val="24"/>
                      </w:rPr>
                    </w:pPr>
                  </w:p>
                </w:txbxContent>
              </v:textbox>
            </v:shape>
          </w:pict>
        </mc:Fallback>
      </mc:AlternateContent>
    </w:r>
    <w:r w:rsidRPr="0056197A">
      <w:rPr>
        <w:rFonts w:ascii="Times New Roman" w:eastAsia="SimSun" w:hAnsi="Times New Roman" w:cs="Times New Roman"/>
        <w:b/>
        <w:bCs/>
        <w:color w:val="E36C0A"/>
        <w:sz w:val="19"/>
        <w:szCs w:val="19"/>
        <w:lang w:val="en-PH" w:eastAsia="zh-CN"/>
      </w:rPr>
      <w:t>International Journal of Sustainability</w:t>
    </w:r>
    <w:r w:rsidRPr="0056197A">
      <w:rPr>
        <w:rFonts w:ascii="Times New Roman" w:eastAsia="SimSun" w:hAnsi="Times New Roman" w:cs="Times New Roman"/>
        <w:b/>
        <w:bCs/>
        <w:color w:val="E36C0A"/>
        <w:sz w:val="19"/>
        <w:szCs w:val="19"/>
        <w:shd w:val="clear" w:color="auto" w:fill="FFFFFF"/>
        <w:lang w:val="en-PH" w:eastAsia="zh-CN"/>
      </w:rPr>
      <w:t xml:space="preserve"> </w:t>
    </w:r>
    <w:r w:rsidRPr="0056197A">
      <w:rPr>
        <w:rFonts w:ascii="Times New Roman" w:eastAsia="SimSun" w:hAnsi="Times New Roman" w:cs="Times New Roman"/>
        <w:b/>
        <w:bCs/>
        <w:color w:val="E36C0A"/>
        <w:sz w:val="19"/>
        <w:szCs w:val="19"/>
        <w:lang w:val="en-PH" w:eastAsia="zh-CN"/>
      </w:rPr>
      <w:t>and Advanced Integrated Research</w:t>
    </w:r>
    <w:r w:rsidRPr="0056197A">
      <w:rPr>
        <w:rFonts w:ascii="Times New Roman" w:eastAsia="SimSun" w:hAnsi="Times New Roman" w:cs="Times New Roman"/>
        <w:b/>
        <w:bCs/>
        <w:color w:val="E36C0A"/>
        <w:sz w:val="19"/>
        <w:szCs w:val="19"/>
        <w:shd w:val="clear" w:color="auto" w:fill="FFFFFF"/>
        <w:lang w:val="en-PH" w:eastAsia="zh-CN"/>
      </w:rPr>
      <w:t xml:space="preserve"> </w:t>
    </w:r>
  </w:p>
  <w:p w14:paraId="4A72EA04" w14:textId="77777777" w:rsidR="0056197A" w:rsidRPr="0056197A" w:rsidRDefault="0056197A" w:rsidP="0056197A">
    <w:pPr>
      <w:tabs>
        <w:tab w:val="center" w:pos="4680"/>
        <w:tab w:val="right" w:pos="9180"/>
      </w:tabs>
      <w:suppressAutoHyphens/>
      <w:spacing w:after="0" w:line="276" w:lineRule="auto"/>
      <w:ind w:right="569"/>
      <w:jc w:val="right"/>
      <w:rPr>
        <w:rFonts w:ascii="Times New Roman" w:eastAsia="SimSun" w:hAnsi="Times New Roman" w:cs="Times New Roman"/>
        <w:b/>
        <w:bCs/>
        <w:color w:val="4F6228"/>
        <w:sz w:val="19"/>
        <w:szCs w:val="19"/>
        <w:shd w:val="clear" w:color="auto" w:fill="FFFFFF"/>
        <w:lang w:val="en-PH" w:eastAsia="zh-CN"/>
      </w:rPr>
    </w:pPr>
    <w:r w:rsidRPr="0056197A">
      <w:rPr>
        <w:rFonts w:ascii="Times New Roman" w:eastAsia="SimSun" w:hAnsi="Times New Roman" w:cs="Times New Roman"/>
        <w:b/>
        <w:bCs/>
        <w:color w:val="002060"/>
        <w:sz w:val="19"/>
        <w:szCs w:val="19"/>
        <w:lang w:val="en-PH" w:eastAsia="zh-CN"/>
      </w:rPr>
      <w:t>Volume 2, Issue 1 (January-March 2026) | ISSN: 3107-7854</w:t>
    </w:r>
  </w:p>
  <w:p w14:paraId="723258AC" w14:textId="6A919107" w:rsidR="00454625" w:rsidRPr="0056197A" w:rsidRDefault="00454625" w:rsidP="005619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5" w:name="_Hlk218939175"/>
  <w:bookmarkStart w:id="36" w:name="_Hlk218939176"/>
  <w:bookmarkStart w:id="37" w:name="_Hlk218939211"/>
  <w:bookmarkStart w:id="38" w:name="_Hlk218939212"/>
  <w:bookmarkStart w:id="39" w:name="_Hlk218939231"/>
  <w:bookmarkStart w:id="40" w:name="_Hlk218939232"/>
  <w:p w14:paraId="4B1A72BB" w14:textId="77777777" w:rsidR="0056197A" w:rsidRPr="0056197A" w:rsidRDefault="0056197A" w:rsidP="0056197A">
    <w:pPr>
      <w:tabs>
        <w:tab w:val="center" w:pos="4680"/>
        <w:tab w:val="right" w:pos="9180"/>
      </w:tabs>
      <w:suppressAutoHyphens/>
      <w:spacing w:after="0" w:line="276" w:lineRule="auto"/>
      <w:ind w:right="569"/>
      <w:jc w:val="right"/>
      <w:rPr>
        <w:rFonts w:ascii="Times New Roman" w:eastAsia="SimSun" w:hAnsi="Times New Roman" w:cs="Times New Roman"/>
        <w:b/>
        <w:bCs/>
        <w:color w:val="E36C0A"/>
        <w:sz w:val="19"/>
        <w:szCs w:val="19"/>
        <w:shd w:val="clear" w:color="auto" w:fill="FFFFFF"/>
        <w:lang w:eastAsia="zh-CN"/>
      </w:rPr>
    </w:pPr>
    <w:r w:rsidRPr="0056197A">
      <w:rPr>
        <w:rFonts w:ascii="Times New Roman" w:eastAsia="SimSun" w:hAnsi="Times New Roman" w:cs="Times New Roman"/>
        <w:b/>
        <w:bCs/>
        <w:noProof/>
        <w:color w:val="002060"/>
        <w:sz w:val="22"/>
        <w:lang w:eastAsia="zh-CN"/>
      </w:rPr>
      <mc:AlternateContent>
        <mc:Choice Requires="wps">
          <w:drawing>
            <wp:anchor distT="0" distB="0" distL="114300" distR="114300" simplePos="0" relativeHeight="251676672" behindDoc="0" locked="0" layoutInCell="1" allowOverlap="1" wp14:anchorId="4CBFE3C8" wp14:editId="78924F90">
              <wp:simplePos x="0" y="0"/>
              <wp:positionH relativeFrom="column">
                <wp:posOffset>5920105</wp:posOffset>
              </wp:positionH>
              <wp:positionV relativeFrom="paragraph">
                <wp:posOffset>20638</wp:posOffset>
              </wp:positionV>
              <wp:extent cx="0" cy="274320"/>
              <wp:effectExtent l="19050" t="0" r="19050" b="30480"/>
              <wp:wrapNone/>
              <wp:docPr id="1391717248" name="Straight Connector 2"/>
              <wp:cNvGraphicFramePr/>
              <a:graphic xmlns:a="http://schemas.openxmlformats.org/drawingml/2006/main">
                <a:graphicData uri="http://schemas.microsoft.com/office/word/2010/wordprocessingShape">
                  <wps:wsp>
                    <wps:cNvCnPr/>
                    <wps:spPr>
                      <a:xfrm>
                        <a:off x="0" y="0"/>
                        <a:ext cx="0" cy="274320"/>
                      </a:xfrm>
                      <a:prstGeom prst="line">
                        <a:avLst/>
                      </a:prstGeom>
                      <a:noFill/>
                      <a:ln w="28575"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FE00F31" id="Straight Connector 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6.15pt,1.65pt" to="466.1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" strokecolor="#002060" strokeweight="2.25pt"/>
          </w:pict>
        </mc:Fallback>
      </mc:AlternateContent>
    </w:r>
    <w:r w:rsidRPr="0056197A">
      <w:rPr>
        <w:rFonts w:ascii="Times New Roman" w:eastAsia="SimSun" w:hAnsi="Times New Roman" w:cs="Times New Roman"/>
        <w:b/>
        <w:bCs/>
        <w:noProof/>
        <w:color w:val="E36C0A"/>
        <w:sz w:val="19"/>
        <w:szCs w:val="19"/>
        <w:lang w:eastAsia="zh-CN"/>
      </w:rPr>
      <mc:AlternateContent>
        <mc:Choice Requires="wps">
          <w:drawing>
            <wp:anchor distT="45720" distB="45720" distL="114300" distR="114300" simplePos="0" relativeHeight="251675648" behindDoc="0" locked="0" layoutInCell="1" allowOverlap="1" wp14:anchorId="20033456" wp14:editId="35FB85CF">
              <wp:simplePos x="0" y="0"/>
              <wp:positionH relativeFrom="column">
                <wp:posOffset>5928360</wp:posOffset>
              </wp:positionH>
              <wp:positionV relativeFrom="paragraph">
                <wp:posOffset>7620</wp:posOffset>
              </wp:positionV>
              <wp:extent cx="543560" cy="297180"/>
              <wp:effectExtent l="0" t="0" r="0" b="0"/>
              <wp:wrapNone/>
              <wp:docPr id="5152448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97180"/>
                      </a:xfrm>
                      <a:prstGeom prst="rect">
                        <a:avLst/>
                      </a:prstGeom>
                      <a:noFill/>
                      <a:ln w="9525">
                        <a:noFill/>
                        <a:miter lim="800000"/>
                        <a:headEnd/>
                        <a:tailEnd/>
                      </a:ln>
                    </wps:spPr>
                    <wps:txbx>
                      <w:txbxContent>
                        <w:sdt>
                          <w:sdtPr>
                            <w:rPr>
                              <w:b/>
                              <w:bCs/>
                              <w:color w:val="002060"/>
                              <w:sz w:val="22"/>
                              <w:szCs w:val="24"/>
                            </w:rPr>
                            <w:id w:val="105161303"/>
                            <w:docPartObj>
                              <w:docPartGallery w:val="Page Numbers (Bottom of Page)"/>
                              <w:docPartUnique/>
                            </w:docPartObj>
                          </w:sdtPr>
                          <w:sdtContent>
                            <w:p w14:paraId="0CD3EE8E" w14:textId="77777777" w:rsidR="0056197A" w:rsidRPr="00D87EE5" w:rsidRDefault="0056197A" w:rsidP="0056197A">
                              <w:pPr>
                                <w:rPr>
                                  <w:b/>
                                  <w:bCs/>
                                  <w:color w:val="002060"/>
                                  <w:sz w:val="22"/>
                                  <w:szCs w:val="24"/>
                                </w:rPr>
                              </w:pPr>
                              <w:r w:rsidRPr="00D87EE5">
                                <w:rPr>
                                  <w:b/>
                                  <w:bCs/>
                                  <w:color w:val="002060"/>
                                  <w:sz w:val="22"/>
                                  <w:szCs w:val="24"/>
                                </w:rPr>
                                <w:fldChar w:fldCharType="begin"/>
                              </w:r>
                              <w:r w:rsidRPr="00D87EE5">
                                <w:rPr>
                                  <w:b/>
                                  <w:bCs/>
                                  <w:color w:val="002060"/>
                                  <w:sz w:val="22"/>
                                  <w:szCs w:val="24"/>
                                </w:rPr>
                                <w:instrText xml:space="preserve"> PAGE   \* MERGEFORMAT </w:instrText>
                              </w:r>
                              <w:r w:rsidRPr="00D87EE5">
                                <w:rPr>
                                  <w:b/>
                                  <w:bCs/>
                                  <w:color w:val="002060"/>
                                  <w:sz w:val="22"/>
                                  <w:szCs w:val="24"/>
                                </w:rPr>
                                <w:fldChar w:fldCharType="separate"/>
                              </w:r>
                              <w:r w:rsidRPr="00D87EE5">
                                <w:rPr>
                                  <w:b/>
                                  <w:bCs/>
                                  <w:color w:val="002060"/>
                                  <w:sz w:val="22"/>
                                  <w:szCs w:val="24"/>
                                </w:rPr>
                                <w:t>2</w:t>
                              </w:r>
                              <w:r w:rsidRPr="00D87EE5">
                                <w:rPr>
                                  <w:b/>
                                  <w:bCs/>
                                  <w:color w:val="002060"/>
                                  <w:sz w:val="22"/>
                                  <w:szCs w:val="24"/>
                                </w:rPr>
                                <w:fldChar w:fldCharType="end"/>
                              </w:r>
                            </w:p>
                            <w:p w14:paraId="39736F7D" w14:textId="77777777" w:rsidR="0056197A" w:rsidRPr="00D87EE5" w:rsidRDefault="00000000" w:rsidP="0056197A">
                              <w:pPr>
                                <w:rPr>
                                  <w:b/>
                                  <w:bCs/>
                                  <w:color w:val="002060"/>
                                  <w:sz w:val="22"/>
                                  <w:szCs w:val="24"/>
                                </w:rPr>
                              </w:pPr>
                            </w:p>
                          </w:sdtContent>
                        </w:sdt>
                        <w:p w14:paraId="1C88E734" w14:textId="77777777" w:rsidR="0056197A" w:rsidRPr="00D87EE5" w:rsidRDefault="0056197A" w:rsidP="0056197A">
                          <w:pPr>
                            <w:rPr>
                              <w:b/>
                              <w:bCs/>
                              <w:color w:val="002060"/>
                              <w:sz w:val="22"/>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033456" id="_x0000_t202" coordsize="21600,21600" o:spt="202" path="m,l,21600r21600,l21600,xe">
              <v:stroke joinstyle="miter"/>
              <v:path gradientshapeok="t" o:connecttype="rect"/>
            </v:shapetype>
            <v:shape id="_x0000_s1028" type="#_x0000_t202" style="position:absolute;left:0;text-align:left;margin-left:466.8pt;margin-top:.6pt;width:42.8pt;height:23.4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" filled="f" stroked="f">
              <v:textbox>
                <w:txbxContent>
                  <w:sdt>
                    <w:sdtPr>
                      <w:rPr>
                        <w:b/>
                        <w:bCs/>
                        <w:color w:val="002060"/>
                        <w:sz w:val="22"/>
                        <w:szCs w:val="24"/>
                      </w:rPr>
                      <w:id w:val="105161303"/>
                      <w:docPartObj>
                        <w:docPartGallery w:val="Page Numbers (Bottom of Page)"/>
                        <w:docPartUnique/>
                      </w:docPartObj>
                    </w:sdtPr>
                    <w:sdtContent>
                      <w:p w14:paraId="0CD3EE8E" w14:textId="77777777" w:rsidR="0056197A" w:rsidRPr="00D87EE5" w:rsidRDefault="0056197A" w:rsidP="0056197A">
                        <w:pPr>
                          <w:rPr>
                            <w:b/>
                            <w:bCs/>
                            <w:color w:val="002060"/>
                            <w:sz w:val="22"/>
                            <w:szCs w:val="24"/>
                          </w:rPr>
                        </w:pPr>
                        <w:r w:rsidRPr="00D87EE5">
                          <w:rPr>
                            <w:b/>
                            <w:bCs/>
                            <w:color w:val="002060"/>
                            <w:sz w:val="22"/>
                            <w:szCs w:val="24"/>
                          </w:rPr>
                          <w:fldChar w:fldCharType="begin"/>
                        </w:r>
                        <w:r w:rsidRPr="00D87EE5">
                          <w:rPr>
                            <w:b/>
                            <w:bCs/>
                            <w:color w:val="002060"/>
                            <w:sz w:val="22"/>
                            <w:szCs w:val="24"/>
                          </w:rPr>
                          <w:instrText xml:space="preserve"> PAGE   \* MERGEFORMAT </w:instrText>
                        </w:r>
                        <w:r w:rsidRPr="00D87EE5">
                          <w:rPr>
                            <w:b/>
                            <w:bCs/>
                            <w:color w:val="002060"/>
                            <w:sz w:val="22"/>
                            <w:szCs w:val="24"/>
                          </w:rPr>
                          <w:fldChar w:fldCharType="separate"/>
                        </w:r>
                        <w:r w:rsidRPr="00D87EE5">
                          <w:rPr>
                            <w:b/>
                            <w:bCs/>
                            <w:color w:val="002060"/>
                            <w:sz w:val="22"/>
                            <w:szCs w:val="24"/>
                          </w:rPr>
                          <w:t>2</w:t>
                        </w:r>
                        <w:r w:rsidRPr="00D87EE5">
                          <w:rPr>
                            <w:b/>
                            <w:bCs/>
                            <w:color w:val="002060"/>
                            <w:sz w:val="22"/>
                            <w:szCs w:val="24"/>
                          </w:rPr>
                          <w:fldChar w:fldCharType="end"/>
                        </w:r>
                      </w:p>
                      <w:p w14:paraId="39736F7D" w14:textId="77777777" w:rsidR="0056197A" w:rsidRPr="00D87EE5" w:rsidRDefault="00000000" w:rsidP="0056197A">
                        <w:pPr>
                          <w:rPr>
                            <w:b/>
                            <w:bCs/>
                            <w:color w:val="002060"/>
                            <w:sz w:val="22"/>
                            <w:szCs w:val="24"/>
                          </w:rPr>
                        </w:pPr>
                      </w:p>
                    </w:sdtContent>
                  </w:sdt>
                  <w:p w14:paraId="1C88E734" w14:textId="77777777" w:rsidR="0056197A" w:rsidRPr="00D87EE5" w:rsidRDefault="0056197A" w:rsidP="0056197A">
                    <w:pPr>
                      <w:rPr>
                        <w:b/>
                        <w:bCs/>
                        <w:color w:val="002060"/>
                        <w:sz w:val="22"/>
                        <w:szCs w:val="24"/>
                      </w:rPr>
                    </w:pPr>
                  </w:p>
                </w:txbxContent>
              </v:textbox>
            </v:shape>
          </w:pict>
        </mc:Fallback>
      </mc:AlternateContent>
    </w:r>
    <w:r w:rsidRPr="0056197A">
      <w:rPr>
        <w:rFonts w:ascii="Times New Roman" w:eastAsia="SimSun" w:hAnsi="Times New Roman" w:cs="Times New Roman"/>
        <w:b/>
        <w:bCs/>
        <w:color w:val="E36C0A"/>
        <w:sz w:val="19"/>
        <w:szCs w:val="19"/>
        <w:lang w:eastAsia="zh-CN"/>
      </w:rPr>
      <w:t>International Journal of Sustainability</w:t>
    </w:r>
    <w:r w:rsidRPr="0056197A">
      <w:rPr>
        <w:rFonts w:ascii="Times New Roman" w:eastAsia="SimSun" w:hAnsi="Times New Roman" w:cs="Times New Roman"/>
        <w:b/>
        <w:bCs/>
        <w:color w:val="E36C0A"/>
        <w:sz w:val="19"/>
        <w:szCs w:val="19"/>
        <w:shd w:val="clear" w:color="auto" w:fill="FFFFFF"/>
        <w:lang w:eastAsia="zh-CN"/>
      </w:rPr>
      <w:t xml:space="preserve"> </w:t>
    </w:r>
    <w:r w:rsidRPr="0056197A">
      <w:rPr>
        <w:rFonts w:ascii="Times New Roman" w:eastAsia="SimSun" w:hAnsi="Times New Roman" w:cs="Times New Roman"/>
        <w:b/>
        <w:bCs/>
        <w:color w:val="E36C0A"/>
        <w:sz w:val="19"/>
        <w:szCs w:val="19"/>
        <w:lang w:eastAsia="zh-CN"/>
      </w:rPr>
      <w:t>and Advanced Integrated Research</w:t>
    </w:r>
    <w:r w:rsidRPr="0056197A">
      <w:rPr>
        <w:rFonts w:ascii="Times New Roman" w:eastAsia="SimSun" w:hAnsi="Times New Roman" w:cs="Times New Roman"/>
        <w:b/>
        <w:bCs/>
        <w:color w:val="E36C0A"/>
        <w:sz w:val="19"/>
        <w:szCs w:val="19"/>
        <w:shd w:val="clear" w:color="auto" w:fill="FFFFFF"/>
        <w:lang w:eastAsia="zh-CN"/>
      </w:rPr>
      <w:t xml:space="preserve"> </w:t>
    </w:r>
  </w:p>
  <w:p w14:paraId="50B05CA7" w14:textId="77777777" w:rsidR="0056197A" w:rsidRPr="0056197A" w:rsidRDefault="0056197A" w:rsidP="0056197A">
    <w:pPr>
      <w:tabs>
        <w:tab w:val="center" w:pos="4680"/>
        <w:tab w:val="right" w:pos="9180"/>
      </w:tabs>
      <w:suppressAutoHyphens/>
      <w:spacing w:after="0" w:line="276" w:lineRule="auto"/>
      <w:ind w:right="569"/>
      <w:jc w:val="right"/>
      <w:rPr>
        <w:rFonts w:ascii="Times New Roman" w:eastAsia="SimSun" w:hAnsi="Times New Roman" w:cs="Times New Roman"/>
        <w:b/>
        <w:bCs/>
        <w:color w:val="4F6228"/>
        <w:sz w:val="19"/>
        <w:szCs w:val="19"/>
        <w:shd w:val="clear" w:color="auto" w:fill="FFFFFF"/>
        <w:lang w:eastAsia="zh-CN"/>
      </w:rPr>
    </w:pPr>
    <w:hyperlink r:id="rId1" w:history="1">
      <w:r w:rsidRPr="0056197A">
        <w:rPr>
          <w:rFonts w:ascii="Times New Roman" w:eastAsia="SimSun" w:hAnsi="Times New Roman" w:cs="Times New Roman"/>
          <w:color w:val="0000FF"/>
          <w:sz w:val="22"/>
          <w:u w:val="single"/>
          <w:lang w:eastAsia="zh-CN"/>
        </w:rPr>
        <w:t>https://ijsair.com/</w:t>
      </w:r>
    </w:hyperlink>
    <w:r w:rsidRPr="0056197A">
      <w:rPr>
        <w:rFonts w:ascii="Times New Roman" w:eastAsia="SimSun" w:hAnsi="Times New Roman" w:cs="Times New Roman"/>
        <w:b/>
        <w:bCs/>
        <w:color w:val="002060"/>
        <w:sz w:val="19"/>
        <w:szCs w:val="19"/>
        <w:lang w:eastAsia="zh-CN"/>
      </w:rPr>
      <w:t>| ISSN: 3107-7854</w:t>
    </w:r>
  </w:p>
  <w:bookmarkEnd w:id="35"/>
  <w:bookmarkEnd w:id="36"/>
  <w:bookmarkEnd w:id="37"/>
  <w:bookmarkEnd w:id="38"/>
  <w:bookmarkEnd w:id="39"/>
  <w:bookmarkEnd w:id="40"/>
  <w:p w14:paraId="148B5BA7" w14:textId="4EF31FF6" w:rsidR="00565E52" w:rsidRPr="0056197A" w:rsidRDefault="00565E52" w:rsidP="005619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B14D6" w14:textId="77777777" w:rsidR="00BA4C93" w:rsidRPr="003D7BB2" w:rsidRDefault="00BA4C93" w:rsidP="005D1B76">
      <w:pPr>
        <w:pStyle w:val="WJS-k-CaptionsFiguresTables"/>
        <w:spacing w:before="0" w:after="0"/>
        <w:rPr>
          <w:sz w:val="19"/>
        </w:rPr>
      </w:pPr>
      <w:r>
        <w:separator/>
      </w:r>
    </w:p>
    <w:p w14:paraId="52EB4FE0" w14:textId="77777777" w:rsidR="00BA4C93" w:rsidRDefault="00BA4C93"/>
  </w:footnote>
  <w:footnote w:type="continuationSeparator" w:id="0">
    <w:p w14:paraId="245530BD" w14:textId="77777777" w:rsidR="00BA4C93" w:rsidRPr="003D7BB2" w:rsidRDefault="00BA4C93" w:rsidP="005D1B76">
      <w:pPr>
        <w:pStyle w:val="WJS-k-CaptionsFiguresTables"/>
        <w:spacing w:before="0" w:after="0"/>
        <w:rPr>
          <w:sz w:val="19"/>
        </w:rPr>
      </w:pPr>
      <w:r>
        <w:continuationSeparator/>
      </w:r>
    </w:p>
    <w:p w14:paraId="733B98E6" w14:textId="77777777" w:rsidR="00BA4C93" w:rsidRDefault="00BA4C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val="0"/>
      </w:rPr>
      <w:id w:val="-1727977173"/>
      <w:docPartObj>
        <w:docPartGallery w:val="Page Numbers (Top of Page)"/>
        <w:docPartUnique/>
      </w:docPartObj>
    </w:sdtPr>
    <w:sdtEndPr>
      <w:rPr>
        <w:i/>
      </w:rPr>
    </w:sdtEndPr>
    <w:sdtContent>
      <w:p w14:paraId="68134089" w14:textId="77777777" w:rsidR="00565E52" w:rsidRPr="00FA25C1" w:rsidRDefault="00565E52" w:rsidP="00FA25C1">
        <w:pPr>
          <w:pStyle w:val="Header"/>
          <w:rPr>
            <w:i w:val="0"/>
            <w:iCs/>
            <w:szCs w:val="16"/>
          </w:rPr>
        </w:pPr>
      </w:p>
      <w:p w14:paraId="459FACFF" w14:textId="77777777" w:rsidR="00565E52" w:rsidRDefault="00000000">
        <w:pPr>
          <w:pStyle w:val="Header"/>
        </w:pPr>
      </w:p>
    </w:sdtContent>
  </w:sdt>
  <w:p w14:paraId="19BC9BB0" w14:textId="77777777" w:rsidR="00454625" w:rsidRDefault="004546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B758E" w14:textId="77777777" w:rsidR="0056197A" w:rsidRPr="00F24648" w:rsidRDefault="0056197A" w:rsidP="0056197A">
    <w:pPr>
      <w:tabs>
        <w:tab w:val="center" w:pos="4680"/>
        <w:tab w:val="right" w:pos="9360"/>
      </w:tabs>
      <w:suppressAutoHyphens/>
      <w:spacing w:after="0" w:line="276" w:lineRule="auto"/>
      <w:jc w:val="center"/>
      <w:rPr>
        <w:rFonts w:ascii="Times New Roman" w:eastAsia="SimSun" w:hAnsi="Times New Roman" w:cs="Times New Roman"/>
        <w:b/>
        <w:bCs/>
        <w:color w:val="E36C0A"/>
        <w:sz w:val="24"/>
        <w:szCs w:val="24"/>
        <w:lang w:val="en-PH" w:eastAsia="zh-CN"/>
      </w:rPr>
    </w:pPr>
    <w:bookmarkStart w:id="1" w:name="_Hlk218939201"/>
    <w:bookmarkStart w:id="2" w:name="_Hlk218939202"/>
    <w:bookmarkStart w:id="3" w:name="_Hlk218939203"/>
    <w:bookmarkStart w:id="4" w:name="_Hlk218939204"/>
    <w:bookmarkStart w:id="5" w:name="_Hlk218939205"/>
    <w:bookmarkStart w:id="6" w:name="_Hlk218939206"/>
    <w:bookmarkStart w:id="7" w:name="_Hlk218939207"/>
    <w:bookmarkStart w:id="8" w:name="_Hlk218939208"/>
  </w:p>
  <w:p w14:paraId="4FF9B6A8" w14:textId="77777777" w:rsidR="0056197A" w:rsidRPr="00F24648" w:rsidRDefault="0056197A" w:rsidP="0056197A">
    <w:pPr>
      <w:tabs>
        <w:tab w:val="center" w:pos="4680"/>
        <w:tab w:val="right" w:pos="9360"/>
      </w:tabs>
      <w:suppressAutoHyphens/>
      <w:spacing w:after="0" w:line="276" w:lineRule="auto"/>
      <w:jc w:val="center"/>
      <w:rPr>
        <w:rFonts w:ascii="Times New Roman" w:eastAsia="SimSun" w:hAnsi="Times New Roman" w:cs="Times New Roman"/>
        <w:b/>
        <w:bCs/>
        <w:color w:val="984806"/>
        <w:sz w:val="22"/>
        <w:szCs w:val="20"/>
        <w:shd w:val="clear" w:color="auto" w:fill="FFFFFF"/>
        <w:lang w:val="en-PH" w:eastAsia="zh-CN"/>
      </w:rPr>
    </w:pPr>
    <w:r w:rsidRPr="00F24648">
      <w:rPr>
        <w:rFonts w:ascii="Times New Roman" w:eastAsia="SimSun" w:hAnsi="Times New Roman" w:cs="Times New Roman"/>
        <w:b/>
        <w:bCs/>
        <w:color w:val="E36C0A"/>
        <w:sz w:val="22"/>
        <w:szCs w:val="20"/>
        <w:lang w:val="en-PH" w:eastAsia="zh-CN"/>
      </w:rPr>
      <w:t>International Journal of Sustainability and</w:t>
    </w:r>
    <w:r w:rsidRPr="00F24648">
      <w:rPr>
        <w:rFonts w:ascii="Times New Roman" w:eastAsia="SimSun" w:hAnsi="Times New Roman" w:cs="Times New Roman"/>
        <w:b/>
        <w:bCs/>
        <w:color w:val="E36C0A"/>
        <w:sz w:val="22"/>
        <w:szCs w:val="20"/>
        <w:shd w:val="clear" w:color="auto" w:fill="FFFFFF"/>
        <w:lang w:val="en-PH" w:eastAsia="zh-CN"/>
      </w:rPr>
      <w:t xml:space="preserve"> </w:t>
    </w:r>
    <w:r w:rsidRPr="00F24648">
      <w:rPr>
        <w:rFonts w:ascii="Times New Roman" w:eastAsia="SimSun" w:hAnsi="Times New Roman" w:cs="Times New Roman"/>
        <w:b/>
        <w:bCs/>
        <w:color w:val="E36C0A"/>
        <w:sz w:val="22"/>
        <w:szCs w:val="20"/>
        <w:lang w:val="en-PH" w:eastAsia="zh-CN"/>
      </w:rPr>
      <w:t>Advanced Integrated Research</w:t>
    </w:r>
    <w:r w:rsidRPr="00F24648">
      <w:rPr>
        <w:rFonts w:ascii="Times New Roman" w:eastAsia="SimSun" w:hAnsi="Times New Roman" w:cs="Times New Roman"/>
        <w:b/>
        <w:bCs/>
        <w:color w:val="984806"/>
        <w:sz w:val="22"/>
        <w:szCs w:val="20"/>
        <w:shd w:val="clear" w:color="auto" w:fill="FFFFFF"/>
        <w:lang w:val="en-PH" w:eastAsia="zh-CN"/>
      </w:rPr>
      <w:t xml:space="preserve"> </w:t>
    </w:r>
  </w:p>
  <w:p w14:paraId="39E11E6D" w14:textId="77777777" w:rsidR="0056197A" w:rsidRPr="00653B99" w:rsidRDefault="0056197A" w:rsidP="0056197A">
    <w:pPr>
      <w:tabs>
        <w:tab w:val="center" w:pos="4680"/>
        <w:tab w:val="right" w:pos="9360"/>
      </w:tabs>
      <w:suppressAutoHyphens/>
      <w:spacing w:after="0" w:line="276" w:lineRule="auto"/>
      <w:jc w:val="center"/>
      <w:rPr>
        <w:rFonts w:ascii="Times New Roman" w:eastAsia="SimSun" w:hAnsi="Times New Roman" w:cs="Times New Roman"/>
        <w:b/>
        <w:bCs/>
        <w:color w:val="002060"/>
        <w:sz w:val="22"/>
        <w:szCs w:val="20"/>
        <w:shd w:val="clear" w:color="auto" w:fill="FFFFFF"/>
        <w:lang w:val="en-PH" w:eastAsia="zh-CN"/>
      </w:rPr>
    </w:pPr>
    <w:r w:rsidRPr="00F24648">
      <w:rPr>
        <w:rFonts w:ascii="Times New Roman" w:eastAsia="SimSun" w:hAnsi="Times New Roman" w:cs="Times New Roman"/>
        <w:b/>
        <w:bCs/>
        <w:color w:val="002060"/>
        <w:sz w:val="22"/>
        <w:szCs w:val="20"/>
        <w:lang w:val="en-PH" w:eastAsia="zh-CN"/>
      </w:rPr>
      <w:t>Volume 2, Issue 1 (January-March 2026) | ISSN: 3107-7854</w:t>
    </w:r>
    <w:bookmarkEnd w:id="1"/>
    <w:bookmarkEnd w:id="2"/>
    <w:bookmarkEnd w:id="3"/>
    <w:bookmarkEnd w:id="4"/>
    <w:bookmarkEnd w:id="5"/>
    <w:bookmarkEnd w:id="6"/>
    <w:bookmarkEnd w:id="7"/>
    <w:bookmarkEnd w:id="8"/>
  </w:p>
  <w:p w14:paraId="6D97276A" w14:textId="2ED6B2F0" w:rsidR="00D67A13" w:rsidRPr="0056197A" w:rsidRDefault="00D67A13" w:rsidP="0056197A">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 w:name="_Hlk218939138"/>
  <w:bookmarkStart w:id="10" w:name="_Hlk218939139"/>
  <w:bookmarkStart w:id="11" w:name="_Hlk218939146"/>
  <w:bookmarkStart w:id="12" w:name="_Hlk218939147"/>
  <w:bookmarkStart w:id="13" w:name="_Hlk218939153"/>
  <w:bookmarkStart w:id="14" w:name="_Hlk218939154"/>
  <w:bookmarkStart w:id="15" w:name="_Hlk218939155"/>
  <w:bookmarkStart w:id="16" w:name="_Hlk218939156"/>
  <w:bookmarkStart w:id="17" w:name="_Hlk218939157"/>
  <w:bookmarkStart w:id="18" w:name="_Hlk218939158"/>
  <w:bookmarkStart w:id="19" w:name="_Hlk218939159"/>
  <w:bookmarkStart w:id="20" w:name="_Hlk218939160"/>
  <w:bookmarkStart w:id="21" w:name="_Hlk218939161"/>
  <w:bookmarkStart w:id="22" w:name="_Hlk218939162"/>
  <w:bookmarkStart w:id="23" w:name="_Hlk218939163"/>
  <w:bookmarkStart w:id="24" w:name="_Hlk218939164"/>
  <w:bookmarkStart w:id="25" w:name="_Hlk218939165"/>
  <w:bookmarkStart w:id="26" w:name="_Hlk218939166"/>
  <w:bookmarkStart w:id="27" w:name="_Hlk218939167"/>
  <w:bookmarkStart w:id="28" w:name="_Hlk218939168"/>
  <w:bookmarkStart w:id="29" w:name="_Hlk218939169"/>
  <w:bookmarkStart w:id="30" w:name="_Hlk218939170"/>
  <w:bookmarkStart w:id="31" w:name="_Hlk218939171"/>
  <w:bookmarkStart w:id="32" w:name="_Hlk218939172"/>
  <w:bookmarkStart w:id="33" w:name="_Hlk218939173"/>
  <w:bookmarkStart w:id="34" w:name="_Hlk218939174"/>
  <w:p w14:paraId="0416A899" w14:textId="77777777" w:rsidR="0056197A" w:rsidRPr="00F24648" w:rsidRDefault="0056197A" w:rsidP="0056197A">
    <w:pPr>
      <w:tabs>
        <w:tab w:val="center" w:pos="4680"/>
        <w:tab w:val="right" w:pos="9360"/>
      </w:tabs>
      <w:suppressAutoHyphens/>
      <w:spacing w:after="0" w:line="276" w:lineRule="auto"/>
      <w:jc w:val="center"/>
      <w:rPr>
        <w:rFonts w:ascii="Times New Roman" w:eastAsia="SimSun" w:hAnsi="Times New Roman" w:cs="Times New Roman"/>
        <w:b/>
        <w:bCs/>
        <w:color w:val="E36C0A"/>
        <w:sz w:val="24"/>
        <w:szCs w:val="24"/>
        <w:lang w:val="en-PH" w:eastAsia="zh-CN"/>
      </w:rPr>
    </w:pPr>
    <w:r w:rsidRPr="00F24648">
      <w:rPr>
        <w:rFonts w:ascii="Times New Roman" w:eastAsia="SimSun" w:hAnsi="Times New Roman" w:cs="Times New Roman"/>
        <w:b/>
        <w:bCs/>
        <w:noProof/>
        <w:color w:val="002060"/>
        <w:sz w:val="22"/>
        <w:szCs w:val="20"/>
        <w:lang w:val="en-PH" w:eastAsia="zh-CN"/>
      </w:rPr>
      <mc:AlternateContent>
        <mc:Choice Requires="wps">
          <w:drawing>
            <wp:anchor distT="0" distB="0" distL="114300" distR="114300" simplePos="0" relativeHeight="251672576" behindDoc="0" locked="0" layoutInCell="1" allowOverlap="1" wp14:anchorId="2E7F02BD" wp14:editId="5998CE12">
              <wp:simplePos x="0" y="0"/>
              <wp:positionH relativeFrom="column">
                <wp:posOffset>1070822</wp:posOffset>
              </wp:positionH>
              <wp:positionV relativeFrom="paragraph">
                <wp:posOffset>156845</wp:posOffset>
              </wp:positionV>
              <wp:extent cx="0" cy="457200"/>
              <wp:effectExtent l="0" t="0" r="38100" b="19050"/>
              <wp:wrapNone/>
              <wp:docPr id="1274762366" name="Straight Connector 2"/>
              <wp:cNvGraphicFramePr/>
              <a:graphic xmlns:a="http://schemas.openxmlformats.org/drawingml/2006/main">
                <a:graphicData uri="http://schemas.microsoft.com/office/word/2010/wordprocessingShape">
                  <wps:wsp>
                    <wps:cNvCnPr/>
                    <wps:spPr>
                      <a:xfrm>
                        <a:off x="0" y="0"/>
                        <a:ext cx="0" cy="457200"/>
                      </a:xfrm>
                      <a:prstGeom prst="line">
                        <a:avLst/>
                      </a:prstGeom>
                      <a:noFill/>
                      <a:ln w="12700"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5BAB780" id="Straight Connector 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3pt,12.35pt" to="84.3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" strokecolor="#002060" strokeweight="1pt"/>
          </w:pict>
        </mc:Fallback>
      </mc:AlternateContent>
    </w:r>
    <w:r w:rsidRPr="00F24648">
      <w:rPr>
        <w:rFonts w:ascii="Times New Roman" w:eastAsia="SimSun" w:hAnsi="Times New Roman" w:cs="Times New Roman"/>
        <w:b/>
        <w:bCs/>
        <w:noProof/>
        <w:color w:val="002060"/>
        <w:sz w:val="22"/>
        <w:szCs w:val="20"/>
        <w:lang w:val="en-PH" w:eastAsia="zh-CN"/>
      </w:rPr>
      <w:drawing>
        <wp:anchor distT="0" distB="0" distL="114300" distR="114300" simplePos="0" relativeHeight="251670528" behindDoc="0" locked="0" layoutInCell="1" allowOverlap="1" wp14:anchorId="56267855" wp14:editId="1CE32F05">
          <wp:simplePos x="0" y="0"/>
          <wp:positionH relativeFrom="column">
            <wp:posOffset>150919</wp:posOffset>
          </wp:positionH>
          <wp:positionV relativeFrom="paragraph">
            <wp:posOffset>-83185</wp:posOffset>
          </wp:positionV>
          <wp:extent cx="876300" cy="876300"/>
          <wp:effectExtent l="0" t="0" r="0" b="0"/>
          <wp:wrapNone/>
          <wp:docPr id="1087748254" name="Picture 1" descr="A logo with text and a glo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473582" name="Picture 1" descr="A logo with text and a glob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14:sizeRelH relativeFrom="margin">
            <wp14:pctWidth>0</wp14:pctWidth>
          </wp14:sizeRelH>
          <wp14:sizeRelV relativeFrom="margin">
            <wp14:pctHeight>0</wp14:pctHeight>
          </wp14:sizeRelV>
        </wp:anchor>
      </w:drawing>
    </w:r>
  </w:p>
  <w:p w14:paraId="744E980C" w14:textId="77777777" w:rsidR="0056197A" w:rsidRPr="00F24648" w:rsidRDefault="0056197A" w:rsidP="0056197A">
    <w:pPr>
      <w:tabs>
        <w:tab w:val="center" w:pos="4680"/>
        <w:tab w:val="right" w:pos="9360"/>
      </w:tabs>
      <w:suppressAutoHyphens/>
      <w:spacing w:after="0" w:line="276" w:lineRule="auto"/>
      <w:ind w:left="1440"/>
      <w:rPr>
        <w:rFonts w:ascii="Times New Roman" w:eastAsia="SimSun" w:hAnsi="Times New Roman" w:cs="Times New Roman"/>
        <w:b/>
        <w:bCs/>
        <w:color w:val="E36C0A"/>
        <w:sz w:val="22"/>
        <w:szCs w:val="20"/>
        <w:shd w:val="clear" w:color="auto" w:fill="FFFFFF"/>
        <w:lang w:val="en-PH" w:eastAsia="zh-CN"/>
      </w:rPr>
    </w:pPr>
    <w:r w:rsidRPr="00F24648">
      <w:rPr>
        <w:rFonts w:ascii="Times New Roman" w:eastAsia="SimSun" w:hAnsi="Times New Roman" w:cs="Times New Roman"/>
        <w:b/>
        <w:bCs/>
        <w:noProof/>
        <w:color w:val="002060"/>
        <w:sz w:val="22"/>
        <w:szCs w:val="20"/>
        <w:lang w:val="en-PH" w:eastAsia="zh-CN"/>
      </w:rPr>
      <mc:AlternateContent>
        <mc:Choice Requires="wps">
          <w:drawing>
            <wp:anchor distT="0" distB="0" distL="114300" distR="114300" simplePos="0" relativeHeight="251671552" behindDoc="0" locked="0" layoutInCell="1" allowOverlap="1" wp14:anchorId="528F99FF" wp14:editId="6A13BAE7">
              <wp:simplePos x="0" y="0"/>
              <wp:positionH relativeFrom="column">
                <wp:posOffset>1099397</wp:posOffset>
              </wp:positionH>
              <wp:positionV relativeFrom="paragraph">
                <wp:posOffset>7620</wp:posOffset>
              </wp:positionV>
              <wp:extent cx="0" cy="365760"/>
              <wp:effectExtent l="0" t="0" r="38100" b="34290"/>
              <wp:wrapNone/>
              <wp:docPr id="569895778" name="Straight Connector 2"/>
              <wp:cNvGraphicFramePr/>
              <a:graphic xmlns:a="http://schemas.openxmlformats.org/drawingml/2006/main">
                <a:graphicData uri="http://schemas.microsoft.com/office/word/2010/wordprocessingShape">
                  <wps:wsp>
                    <wps:cNvCnPr/>
                    <wps:spPr>
                      <a:xfrm>
                        <a:off x="0" y="0"/>
                        <a:ext cx="0" cy="365760"/>
                      </a:xfrm>
                      <a:prstGeom prst="line">
                        <a:avLst/>
                      </a:prstGeom>
                      <a:noFill/>
                      <a:ln w="12700"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A9AEA79" id="Straight Connector 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55pt,.6pt" to="86.5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" strokecolor="#002060" strokeweight="1pt"/>
          </w:pict>
        </mc:Fallback>
      </mc:AlternateContent>
    </w:r>
    <w:r w:rsidRPr="00F24648">
      <w:rPr>
        <w:rFonts w:ascii="Times New Roman" w:eastAsia="SimSun" w:hAnsi="Times New Roman" w:cs="Times New Roman"/>
        <w:b/>
        <w:bCs/>
        <w:color w:val="E36C0A"/>
        <w:sz w:val="22"/>
        <w:szCs w:val="20"/>
        <w:lang w:val="en-PH" w:eastAsia="zh-CN"/>
      </w:rPr>
      <w:tab/>
      <w:t xml:space="preserve">       </w:t>
    </w:r>
    <w:r w:rsidRPr="00F24648">
      <w:rPr>
        <w:rFonts w:ascii="Times New Roman" w:eastAsia="SimSun" w:hAnsi="Times New Roman" w:cs="Times New Roman"/>
        <w:b/>
        <w:bCs/>
        <w:color w:val="E36C0A"/>
        <w:sz w:val="24"/>
        <w:szCs w:val="24"/>
        <w:lang w:val="en-PH" w:eastAsia="zh-CN"/>
      </w:rPr>
      <w:t>International Journal of Sustainability</w:t>
    </w:r>
    <w:r w:rsidRPr="00F24648">
      <w:rPr>
        <w:rFonts w:ascii="Times New Roman" w:eastAsia="SimSun" w:hAnsi="Times New Roman" w:cs="Times New Roman"/>
        <w:b/>
        <w:bCs/>
        <w:color w:val="E36C0A"/>
        <w:sz w:val="24"/>
        <w:szCs w:val="24"/>
        <w:shd w:val="clear" w:color="auto" w:fill="FFFFFF"/>
        <w:lang w:val="en-PH" w:eastAsia="zh-CN"/>
      </w:rPr>
      <w:t xml:space="preserve"> </w:t>
    </w:r>
    <w:r w:rsidRPr="00F24648">
      <w:rPr>
        <w:rFonts w:ascii="Times New Roman" w:eastAsia="SimSun" w:hAnsi="Times New Roman" w:cs="Times New Roman"/>
        <w:b/>
        <w:bCs/>
        <w:color w:val="E36C0A"/>
        <w:sz w:val="24"/>
        <w:szCs w:val="24"/>
        <w:lang w:val="en-PH" w:eastAsia="zh-CN"/>
      </w:rPr>
      <w:t xml:space="preserve">and Advanced Integrated Research  </w:t>
    </w:r>
    <w:r w:rsidRPr="00F24648">
      <w:rPr>
        <w:rFonts w:ascii="Times New Roman" w:eastAsia="SimSun" w:hAnsi="Times New Roman" w:cs="Times New Roman"/>
        <w:b/>
        <w:bCs/>
        <w:color w:val="E36C0A"/>
        <w:sz w:val="24"/>
        <w:szCs w:val="24"/>
        <w:shd w:val="clear" w:color="auto" w:fill="FFFFFF"/>
        <w:lang w:val="en-PH" w:eastAsia="zh-CN"/>
      </w:rPr>
      <w:t xml:space="preserve"> </w:t>
    </w:r>
  </w:p>
  <w:p w14:paraId="062BF37B" w14:textId="77777777" w:rsidR="0056197A" w:rsidRPr="00F24648" w:rsidRDefault="0056197A" w:rsidP="0056197A">
    <w:pPr>
      <w:tabs>
        <w:tab w:val="center" w:pos="4680"/>
        <w:tab w:val="right" w:pos="9360"/>
      </w:tabs>
      <w:suppressAutoHyphens/>
      <w:spacing w:after="0" w:line="276" w:lineRule="auto"/>
      <w:ind w:left="1440"/>
      <w:rPr>
        <w:rFonts w:ascii="Times New Roman" w:eastAsia="SimSun" w:hAnsi="Times New Roman" w:cs="Times New Roman"/>
        <w:b/>
        <w:bCs/>
        <w:color w:val="4F6228"/>
        <w:sz w:val="22"/>
        <w:szCs w:val="20"/>
        <w:lang w:val="en-PH" w:eastAsia="zh-CN"/>
      </w:rPr>
    </w:pPr>
    <w:r w:rsidRPr="00F24648">
      <w:rPr>
        <w:rFonts w:ascii="Times New Roman" w:eastAsia="SimSun" w:hAnsi="Times New Roman" w:cs="Times New Roman"/>
        <w:b/>
        <w:bCs/>
        <w:noProof/>
        <w:color w:val="002060"/>
        <w:sz w:val="22"/>
        <w:szCs w:val="20"/>
        <w:lang w:val="en-PH" w:eastAsia="zh-CN"/>
      </w:rPr>
      <mc:AlternateContent>
        <mc:Choice Requires="wps">
          <w:drawing>
            <wp:anchor distT="45720" distB="45720" distL="114300" distR="114300" simplePos="0" relativeHeight="251673600" behindDoc="0" locked="0" layoutInCell="1" allowOverlap="1" wp14:anchorId="11F62602" wp14:editId="2B1CD865">
              <wp:simplePos x="0" y="0"/>
              <wp:positionH relativeFrom="column">
                <wp:posOffset>1037289</wp:posOffset>
              </wp:positionH>
              <wp:positionV relativeFrom="paragraph">
                <wp:posOffset>114762</wp:posOffset>
              </wp:positionV>
              <wp:extent cx="3340100" cy="320040"/>
              <wp:effectExtent l="0" t="0" r="0" b="3810"/>
              <wp:wrapNone/>
              <wp:docPr id="850362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0" cy="320040"/>
                      </a:xfrm>
                      <a:prstGeom prst="rect">
                        <a:avLst/>
                      </a:prstGeom>
                      <a:noFill/>
                      <a:ln w="9525">
                        <a:noFill/>
                        <a:miter lim="800000"/>
                        <a:headEnd/>
                        <a:tailEnd/>
                      </a:ln>
                    </wps:spPr>
                    <wps:txbx>
                      <w:txbxContent>
                        <w:p w14:paraId="132B6D8E" w14:textId="2785E0A9" w:rsidR="0056197A" w:rsidRPr="006D27A3" w:rsidRDefault="0056197A" w:rsidP="0056197A">
                          <w:r w:rsidRPr="006D27A3">
                            <w:rPr>
                              <w:i/>
                              <w:vertAlign w:val="superscript"/>
                            </w:rPr>
                            <w:t xml:space="preserve">  </w:t>
                          </w:r>
                          <w:r w:rsidRPr="001810C6">
                            <w:t>DOI: </w:t>
                          </w:r>
                          <w:hyperlink r:id="rId2" w:history="1">
                            <w:r w:rsidR="00784330" w:rsidRPr="00C13FCD">
                              <w:rPr>
                                <w:rStyle w:val="Hyperlink"/>
                              </w:rPr>
                              <w:t>https://doi.org/10.65339/ijsair.V2.I1.33</w:t>
                            </w:r>
                          </w:hyperlink>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F62602" id="_x0000_t202" coordsize="21600,21600" o:spt="202" path="m,l,21600r21600,l21600,xe">
              <v:stroke joinstyle="miter"/>
              <v:path gradientshapeok="t" o:connecttype="rect"/>
            </v:shapetype>
            <v:shape id="_x0000_s1027" type="#_x0000_t202" style="position:absolute;left:0;text-align:left;margin-left:81.7pt;margin-top:9.05pt;width:263pt;height:25.2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" filled="f" stroked="f">
              <v:textbox>
                <w:txbxContent>
                  <w:p w14:paraId="132B6D8E" w14:textId="2785E0A9" w:rsidR="0056197A" w:rsidRPr="006D27A3" w:rsidRDefault="0056197A" w:rsidP="0056197A">
                    <w:r w:rsidRPr="006D27A3">
                      <w:rPr>
                        <w:i/>
                        <w:vertAlign w:val="superscript"/>
                      </w:rPr>
                      <w:t xml:space="preserve">  </w:t>
                    </w:r>
                    <w:r w:rsidRPr="001810C6">
                      <w:t>DOI: </w:t>
                    </w:r>
                    <w:hyperlink r:id="rId3" w:history="1">
                      <w:r w:rsidR="00784330" w:rsidRPr="00C13FCD">
                        <w:rPr>
                          <w:rStyle w:val="Hyperlink"/>
                        </w:rPr>
                        <w:t>https://doi.org/10.65339/ijsair.V2.I1.33</w:t>
                      </w:r>
                    </w:hyperlink>
                    <w:r>
                      <w:t xml:space="preserve">   </w:t>
                    </w:r>
                  </w:p>
                </w:txbxContent>
              </v:textbox>
            </v:shape>
          </w:pict>
        </mc:Fallback>
      </mc:AlternateContent>
    </w:r>
    <w:r w:rsidRPr="00F24648">
      <w:rPr>
        <w:rFonts w:ascii="Times New Roman" w:eastAsia="SimSun" w:hAnsi="Times New Roman" w:cs="Times New Roman"/>
        <w:b/>
        <w:bCs/>
        <w:color w:val="002060"/>
        <w:sz w:val="22"/>
        <w:szCs w:val="20"/>
        <w:lang w:val="en-PH" w:eastAsia="zh-CN"/>
      </w:rPr>
      <w:t xml:space="preserve">       Volume 2, Issue 1 (January-March 2026) | ISSN: 3107-7854</w:t>
    </w:r>
  </w:p>
  <w:p w14:paraId="548E568B" w14:textId="4600E136" w:rsidR="00D67A13" w:rsidRPr="0056197A" w:rsidRDefault="0056197A" w:rsidP="0056197A">
    <w:pPr>
      <w:tabs>
        <w:tab w:val="center" w:pos="4680"/>
        <w:tab w:val="right" w:pos="9360"/>
      </w:tabs>
      <w:suppressAutoHyphens/>
      <w:spacing w:after="0" w:line="276" w:lineRule="auto"/>
      <w:rPr>
        <w:rFonts w:ascii="Times New Roman" w:eastAsia="SimSun" w:hAnsi="Times New Roman" w:cs="Times New Roman"/>
        <w:b/>
        <w:bCs/>
        <w:color w:val="002060"/>
        <w:sz w:val="22"/>
        <w:szCs w:val="20"/>
        <w:lang w:val="en-PH" w:eastAsia="zh-CN"/>
      </w:rPr>
    </w:pPr>
    <w:r w:rsidRPr="00F24648">
      <w:rPr>
        <w:rFonts w:ascii="Times New Roman" w:eastAsia="SimSun" w:hAnsi="Times New Roman" w:cs="Times New Roman"/>
        <w:b/>
        <w:bCs/>
        <w:color w:val="002060"/>
        <w:sz w:val="22"/>
        <w:szCs w:val="20"/>
        <w:lang w:val="en-PH" w:eastAsia="zh-CN"/>
      </w:rPr>
      <w:t>________________________________________________________________________________________</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52A1"/>
    <w:multiLevelType w:val="multilevel"/>
    <w:tmpl w:val="532066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FE30FD"/>
    <w:multiLevelType w:val="hybridMultilevel"/>
    <w:tmpl w:val="2EF6145E"/>
    <w:lvl w:ilvl="0" w:tplc="C6042AA2">
      <w:start w:val="1"/>
      <w:numFmt w:val="decimal"/>
      <w:pStyle w:val="WJS-t-References"/>
      <w:lvlText w:val="[%1]"/>
      <w:lvlJc w:val="left"/>
      <w:pPr>
        <w:ind w:left="720" w:hanging="360"/>
      </w:pPr>
      <w:rPr>
        <w:rFonts w:ascii="Cambria" w:hAnsi="Cambria"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D213D"/>
    <w:multiLevelType w:val="hybridMultilevel"/>
    <w:tmpl w:val="CBEC9CF6"/>
    <w:lvl w:ilvl="0" w:tplc="757EF76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C6643"/>
    <w:multiLevelType w:val="multilevel"/>
    <w:tmpl w:val="CF7693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9F4987"/>
    <w:multiLevelType w:val="multilevel"/>
    <w:tmpl w:val="2E76C1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5162DC0"/>
    <w:multiLevelType w:val="multilevel"/>
    <w:tmpl w:val="9F1A46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707787"/>
    <w:multiLevelType w:val="multilevel"/>
    <w:tmpl w:val="9C7474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CC90D8F"/>
    <w:multiLevelType w:val="multilevel"/>
    <w:tmpl w:val="CF881D2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E281F21"/>
    <w:multiLevelType w:val="hybridMultilevel"/>
    <w:tmpl w:val="C0A4C60E"/>
    <w:lvl w:ilvl="0" w:tplc="1ECE50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1573F5B"/>
    <w:multiLevelType w:val="multilevel"/>
    <w:tmpl w:val="8FAC29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92F1E87"/>
    <w:multiLevelType w:val="hybridMultilevel"/>
    <w:tmpl w:val="A1BAC5D2"/>
    <w:lvl w:ilvl="0" w:tplc="A140BDA0">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4F43FD5"/>
    <w:multiLevelType w:val="hybridMultilevel"/>
    <w:tmpl w:val="78B899F2"/>
    <w:lvl w:ilvl="0" w:tplc="A912C90C">
      <w:start w:val="1"/>
      <w:numFmt w:val="decimal"/>
      <w:lvlText w:val="%1."/>
      <w:lvlJc w:val="left"/>
      <w:pPr>
        <w:ind w:left="360" w:hanging="360"/>
      </w:pPr>
      <w:rPr>
        <w:rFonts w:ascii="Times New Roman" w:hAnsi="Times New Roman" w:hint="default"/>
        <w:b w:val="0"/>
        <w:i w:val="0"/>
        <w:caps w:val="0"/>
        <w:vanish w:val="0"/>
        <w:spacing w:val="0"/>
        <w:position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0119C7"/>
    <w:multiLevelType w:val="multilevel"/>
    <w:tmpl w:val="1EA4F0F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5C90E41"/>
    <w:multiLevelType w:val="multilevel"/>
    <w:tmpl w:val="1EB44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C6768C"/>
    <w:multiLevelType w:val="hybridMultilevel"/>
    <w:tmpl w:val="3FD05D0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48757680"/>
    <w:multiLevelType w:val="multilevel"/>
    <w:tmpl w:val="CDF01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4A4AFC"/>
    <w:multiLevelType w:val="hybridMultilevel"/>
    <w:tmpl w:val="A1BAC5D2"/>
    <w:lvl w:ilvl="0" w:tplc="A140BDA0">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69112E"/>
    <w:multiLevelType w:val="multilevel"/>
    <w:tmpl w:val="AE8CACEE"/>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530A7F29"/>
    <w:multiLevelType w:val="hybridMultilevel"/>
    <w:tmpl w:val="2DDE250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15:restartNumberingAfterBreak="0">
    <w:nsid w:val="55DE5B38"/>
    <w:multiLevelType w:val="multilevel"/>
    <w:tmpl w:val="967A29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0E1C70"/>
    <w:multiLevelType w:val="hybridMultilevel"/>
    <w:tmpl w:val="49105C8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642A5BBD"/>
    <w:multiLevelType w:val="hybridMultilevel"/>
    <w:tmpl w:val="55DEA5C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6860698A"/>
    <w:multiLevelType w:val="multilevel"/>
    <w:tmpl w:val="2A1E11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FD5144B"/>
    <w:multiLevelType w:val="multilevel"/>
    <w:tmpl w:val="4AE48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8B6F8B"/>
    <w:multiLevelType w:val="hybridMultilevel"/>
    <w:tmpl w:val="EC646646"/>
    <w:lvl w:ilvl="0" w:tplc="FE0A6DA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9951383">
    <w:abstractNumId w:val="11"/>
  </w:num>
  <w:num w:numId="2" w16cid:durableId="982542603">
    <w:abstractNumId w:val="16"/>
  </w:num>
  <w:num w:numId="3" w16cid:durableId="205222320">
    <w:abstractNumId w:val="17"/>
  </w:num>
  <w:num w:numId="4" w16cid:durableId="731654548">
    <w:abstractNumId w:val="2"/>
  </w:num>
  <w:num w:numId="5" w16cid:durableId="2129473458">
    <w:abstractNumId w:val="10"/>
  </w:num>
  <w:num w:numId="6" w16cid:durableId="583075953">
    <w:abstractNumId w:val="1"/>
  </w:num>
  <w:num w:numId="7" w16cid:durableId="1950577472">
    <w:abstractNumId w:val="24"/>
  </w:num>
  <w:num w:numId="8" w16cid:durableId="1762413401">
    <w:abstractNumId w:val="8"/>
  </w:num>
  <w:num w:numId="9" w16cid:durableId="614219532">
    <w:abstractNumId w:val="18"/>
  </w:num>
  <w:num w:numId="10" w16cid:durableId="1478231445">
    <w:abstractNumId w:val="21"/>
  </w:num>
  <w:num w:numId="11" w16cid:durableId="1237932468">
    <w:abstractNumId w:val="13"/>
  </w:num>
  <w:num w:numId="12" w16cid:durableId="802964420">
    <w:abstractNumId w:val="14"/>
  </w:num>
  <w:num w:numId="13" w16cid:durableId="59525340">
    <w:abstractNumId w:val="20"/>
  </w:num>
  <w:num w:numId="14" w16cid:durableId="1649819418">
    <w:abstractNumId w:val="15"/>
  </w:num>
  <w:num w:numId="15" w16cid:durableId="338579428">
    <w:abstractNumId w:val="4"/>
  </w:num>
  <w:num w:numId="16" w16cid:durableId="1063063045">
    <w:abstractNumId w:val="5"/>
  </w:num>
  <w:num w:numId="17" w16cid:durableId="1918780138">
    <w:abstractNumId w:val="3"/>
  </w:num>
  <w:num w:numId="18" w16cid:durableId="1752388863">
    <w:abstractNumId w:val="9"/>
  </w:num>
  <w:num w:numId="19" w16cid:durableId="262963092">
    <w:abstractNumId w:val="6"/>
  </w:num>
  <w:num w:numId="20" w16cid:durableId="506948954">
    <w:abstractNumId w:val="7"/>
  </w:num>
  <w:num w:numId="21" w16cid:durableId="518128639">
    <w:abstractNumId w:val="12"/>
  </w:num>
  <w:num w:numId="22" w16cid:durableId="761295664">
    <w:abstractNumId w:val="22"/>
  </w:num>
  <w:num w:numId="23" w16cid:durableId="756050016">
    <w:abstractNumId w:val="0"/>
  </w:num>
  <w:num w:numId="24" w16cid:durableId="67463515">
    <w:abstractNumId w:val="23"/>
  </w:num>
  <w:num w:numId="25" w16cid:durableId="7687382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attachedTemplate r:id="rId1"/>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C64"/>
    <w:rsid w:val="00003DDF"/>
    <w:rsid w:val="0002171C"/>
    <w:rsid w:val="00024987"/>
    <w:rsid w:val="0008004B"/>
    <w:rsid w:val="00081C85"/>
    <w:rsid w:val="00082FC0"/>
    <w:rsid w:val="000905E9"/>
    <w:rsid w:val="00090928"/>
    <w:rsid w:val="0009268F"/>
    <w:rsid w:val="000A0C4D"/>
    <w:rsid w:val="000A1760"/>
    <w:rsid w:val="000B18B7"/>
    <w:rsid w:val="000B34C1"/>
    <w:rsid w:val="000B4B31"/>
    <w:rsid w:val="000B50C0"/>
    <w:rsid w:val="000B5612"/>
    <w:rsid w:val="000B6FA2"/>
    <w:rsid w:val="000C0AAC"/>
    <w:rsid w:val="000C109E"/>
    <w:rsid w:val="000D0505"/>
    <w:rsid w:val="000D6DBB"/>
    <w:rsid w:val="000E11D7"/>
    <w:rsid w:val="000E3176"/>
    <w:rsid w:val="000E3B0F"/>
    <w:rsid w:val="000E5688"/>
    <w:rsid w:val="000E760B"/>
    <w:rsid w:val="000F4111"/>
    <w:rsid w:val="000F6521"/>
    <w:rsid w:val="00102967"/>
    <w:rsid w:val="00104ACC"/>
    <w:rsid w:val="0011251F"/>
    <w:rsid w:val="00120FE3"/>
    <w:rsid w:val="0013279F"/>
    <w:rsid w:val="00143D82"/>
    <w:rsid w:val="001525E6"/>
    <w:rsid w:val="00160712"/>
    <w:rsid w:val="00164F55"/>
    <w:rsid w:val="00175F39"/>
    <w:rsid w:val="00177D20"/>
    <w:rsid w:val="00185EBF"/>
    <w:rsid w:val="00190913"/>
    <w:rsid w:val="001A251A"/>
    <w:rsid w:val="001A533E"/>
    <w:rsid w:val="001A6A67"/>
    <w:rsid w:val="001A79C6"/>
    <w:rsid w:val="001B0756"/>
    <w:rsid w:val="001B543C"/>
    <w:rsid w:val="001B61AF"/>
    <w:rsid w:val="001B7A5D"/>
    <w:rsid w:val="001C17C7"/>
    <w:rsid w:val="001C3851"/>
    <w:rsid w:val="001E6358"/>
    <w:rsid w:val="00203004"/>
    <w:rsid w:val="002158B2"/>
    <w:rsid w:val="0021721C"/>
    <w:rsid w:val="00217B5A"/>
    <w:rsid w:val="002226BA"/>
    <w:rsid w:val="00223E06"/>
    <w:rsid w:val="00225D1E"/>
    <w:rsid w:val="00230482"/>
    <w:rsid w:val="00231F14"/>
    <w:rsid w:val="002336DC"/>
    <w:rsid w:val="00246005"/>
    <w:rsid w:val="0025756E"/>
    <w:rsid w:val="002644E1"/>
    <w:rsid w:val="00284645"/>
    <w:rsid w:val="0028626F"/>
    <w:rsid w:val="00294CA8"/>
    <w:rsid w:val="002B1001"/>
    <w:rsid w:val="002B3435"/>
    <w:rsid w:val="002B6A01"/>
    <w:rsid w:val="002C1CDE"/>
    <w:rsid w:val="002D5C64"/>
    <w:rsid w:val="002D7B21"/>
    <w:rsid w:val="002E2812"/>
    <w:rsid w:val="002E3348"/>
    <w:rsid w:val="002E7D0D"/>
    <w:rsid w:val="002F21FA"/>
    <w:rsid w:val="002F70FF"/>
    <w:rsid w:val="00301275"/>
    <w:rsid w:val="00301383"/>
    <w:rsid w:val="0030322A"/>
    <w:rsid w:val="00304BBC"/>
    <w:rsid w:val="003059A2"/>
    <w:rsid w:val="00312C01"/>
    <w:rsid w:val="00313DCE"/>
    <w:rsid w:val="00314CAF"/>
    <w:rsid w:val="00316D09"/>
    <w:rsid w:val="00321144"/>
    <w:rsid w:val="0032304F"/>
    <w:rsid w:val="00334224"/>
    <w:rsid w:val="00341014"/>
    <w:rsid w:val="003413C3"/>
    <w:rsid w:val="0034143A"/>
    <w:rsid w:val="0034176B"/>
    <w:rsid w:val="0034318D"/>
    <w:rsid w:val="00343F0C"/>
    <w:rsid w:val="00357452"/>
    <w:rsid w:val="00366C73"/>
    <w:rsid w:val="003678B9"/>
    <w:rsid w:val="00367B9B"/>
    <w:rsid w:val="00372422"/>
    <w:rsid w:val="00377B02"/>
    <w:rsid w:val="003836C2"/>
    <w:rsid w:val="003846D5"/>
    <w:rsid w:val="00386029"/>
    <w:rsid w:val="00386C5A"/>
    <w:rsid w:val="00397909"/>
    <w:rsid w:val="003A40B4"/>
    <w:rsid w:val="003B7479"/>
    <w:rsid w:val="003C6513"/>
    <w:rsid w:val="003D217D"/>
    <w:rsid w:val="003D5AF6"/>
    <w:rsid w:val="003F506D"/>
    <w:rsid w:val="004011C3"/>
    <w:rsid w:val="00407289"/>
    <w:rsid w:val="00407C0C"/>
    <w:rsid w:val="00425954"/>
    <w:rsid w:val="00434CAB"/>
    <w:rsid w:val="004425D6"/>
    <w:rsid w:val="0044633C"/>
    <w:rsid w:val="00454625"/>
    <w:rsid w:val="00455E58"/>
    <w:rsid w:val="004572E8"/>
    <w:rsid w:val="00460429"/>
    <w:rsid w:val="004721B1"/>
    <w:rsid w:val="004772A1"/>
    <w:rsid w:val="004844C5"/>
    <w:rsid w:val="00486E99"/>
    <w:rsid w:val="004903EB"/>
    <w:rsid w:val="004B0820"/>
    <w:rsid w:val="004B1D8C"/>
    <w:rsid w:val="004C2847"/>
    <w:rsid w:val="004C493D"/>
    <w:rsid w:val="004C5AE9"/>
    <w:rsid w:val="004C6329"/>
    <w:rsid w:val="004D2093"/>
    <w:rsid w:val="004D4CE3"/>
    <w:rsid w:val="004D70F1"/>
    <w:rsid w:val="004E5294"/>
    <w:rsid w:val="004F016C"/>
    <w:rsid w:val="004F3452"/>
    <w:rsid w:val="004F76F0"/>
    <w:rsid w:val="00506BE7"/>
    <w:rsid w:val="00510AB0"/>
    <w:rsid w:val="00510DE1"/>
    <w:rsid w:val="00513583"/>
    <w:rsid w:val="005146C8"/>
    <w:rsid w:val="0052284C"/>
    <w:rsid w:val="00531FAF"/>
    <w:rsid w:val="0054789B"/>
    <w:rsid w:val="00560E27"/>
    <w:rsid w:val="0056197A"/>
    <w:rsid w:val="00565E52"/>
    <w:rsid w:val="00573D1D"/>
    <w:rsid w:val="00580AD9"/>
    <w:rsid w:val="005850CB"/>
    <w:rsid w:val="005908F1"/>
    <w:rsid w:val="005A0434"/>
    <w:rsid w:val="005A5996"/>
    <w:rsid w:val="005B12FF"/>
    <w:rsid w:val="005C0D2B"/>
    <w:rsid w:val="005C1AB2"/>
    <w:rsid w:val="005C1FD9"/>
    <w:rsid w:val="005C39F3"/>
    <w:rsid w:val="005C7AB3"/>
    <w:rsid w:val="005D1B76"/>
    <w:rsid w:val="005D2256"/>
    <w:rsid w:val="005D525B"/>
    <w:rsid w:val="005D5D19"/>
    <w:rsid w:val="005E1AED"/>
    <w:rsid w:val="005E20D0"/>
    <w:rsid w:val="005E4435"/>
    <w:rsid w:val="005E7082"/>
    <w:rsid w:val="005F3583"/>
    <w:rsid w:val="005F46B3"/>
    <w:rsid w:val="005F547F"/>
    <w:rsid w:val="00600AB9"/>
    <w:rsid w:val="00602A48"/>
    <w:rsid w:val="006057F6"/>
    <w:rsid w:val="006131FC"/>
    <w:rsid w:val="006225B0"/>
    <w:rsid w:val="00634BDC"/>
    <w:rsid w:val="00634D37"/>
    <w:rsid w:val="00635592"/>
    <w:rsid w:val="006360D6"/>
    <w:rsid w:val="00640B04"/>
    <w:rsid w:val="00647C19"/>
    <w:rsid w:val="00653AFB"/>
    <w:rsid w:val="00657048"/>
    <w:rsid w:val="00665706"/>
    <w:rsid w:val="006732D4"/>
    <w:rsid w:val="00682AFB"/>
    <w:rsid w:val="00684AD7"/>
    <w:rsid w:val="0069175B"/>
    <w:rsid w:val="006A6F3A"/>
    <w:rsid w:val="006B1E56"/>
    <w:rsid w:val="006D747C"/>
    <w:rsid w:val="006D7AFB"/>
    <w:rsid w:val="006E25F2"/>
    <w:rsid w:val="006E438D"/>
    <w:rsid w:val="006F226D"/>
    <w:rsid w:val="0070006C"/>
    <w:rsid w:val="00707040"/>
    <w:rsid w:val="007149F0"/>
    <w:rsid w:val="00716BEA"/>
    <w:rsid w:val="0073051D"/>
    <w:rsid w:val="0073632D"/>
    <w:rsid w:val="00736D6E"/>
    <w:rsid w:val="00756E90"/>
    <w:rsid w:val="0076100D"/>
    <w:rsid w:val="00765F5E"/>
    <w:rsid w:val="00777D32"/>
    <w:rsid w:val="00784330"/>
    <w:rsid w:val="007A4E9B"/>
    <w:rsid w:val="007B50EF"/>
    <w:rsid w:val="007C52E5"/>
    <w:rsid w:val="007D1237"/>
    <w:rsid w:val="007D29AC"/>
    <w:rsid w:val="007D7F43"/>
    <w:rsid w:val="007E33D8"/>
    <w:rsid w:val="007E7B92"/>
    <w:rsid w:val="007F30DD"/>
    <w:rsid w:val="007F685D"/>
    <w:rsid w:val="00807A5B"/>
    <w:rsid w:val="00814C2A"/>
    <w:rsid w:val="0081596F"/>
    <w:rsid w:val="008259C2"/>
    <w:rsid w:val="00826A71"/>
    <w:rsid w:val="008332D6"/>
    <w:rsid w:val="00835F56"/>
    <w:rsid w:val="00855F1D"/>
    <w:rsid w:val="00872542"/>
    <w:rsid w:val="00881CA8"/>
    <w:rsid w:val="00881EE2"/>
    <w:rsid w:val="008A19FE"/>
    <w:rsid w:val="008A413C"/>
    <w:rsid w:val="008A59B2"/>
    <w:rsid w:val="008B590C"/>
    <w:rsid w:val="008C1F1E"/>
    <w:rsid w:val="008C536F"/>
    <w:rsid w:val="008D653F"/>
    <w:rsid w:val="008E5940"/>
    <w:rsid w:val="008E6365"/>
    <w:rsid w:val="00901B3C"/>
    <w:rsid w:val="00903B8A"/>
    <w:rsid w:val="0090547B"/>
    <w:rsid w:val="00907BD2"/>
    <w:rsid w:val="0092371E"/>
    <w:rsid w:val="00925D51"/>
    <w:rsid w:val="00931BF1"/>
    <w:rsid w:val="00933C11"/>
    <w:rsid w:val="00935D44"/>
    <w:rsid w:val="0093775B"/>
    <w:rsid w:val="00943726"/>
    <w:rsid w:val="00960F31"/>
    <w:rsid w:val="0096610E"/>
    <w:rsid w:val="0097316A"/>
    <w:rsid w:val="009818E8"/>
    <w:rsid w:val="0099059F"/>
    <w:rsid w:val="009930FD"/>
    <w:rsid w:val="00997431"/>
    <w:rsid w:val="009A58A7"/>
    <w:rsid w:val="009B379E"/>
    <w:rsid w:val="009C0CA3"/>
    <w:rsid w:val="009D6CDD"/>
    <w:rsid w:val="009E016C"/>
    <w:rsid w:val="009E2530"/>
    <w:rsid w:val="009F32E8"/>
    <w:rsid w:val="009F72F7"/>
    <w:rsid w:val="00A04377"/>
    <w:rsid w:val="00A05587"/>
    <w:rsid w:val="00A251EF"/>
    <w:rsid w:val="00A27CEC"/>
    <w:rsid w:val="00A36477"/>
    <w:rsid w:val="00A40899"/>
    <w:rsid w:val="00A44E2B"/>
    <w:rsid w:val="00A511FC"/>
    <w:rsid w:val="00A629CF"/>
    <w:rsid w:val="00A65239"/>
    <w:rsid w:val="00A70447"/>
    <w:rsid w:val="00A71616"/>
    <w:rsid w:val="00A84B18"/>
    <w:rsid w:val="00A902A8"/>
    <w:rsid w:val="00A95601"/>
    <w:rsid w:val="00AA4964"/>
    <w:rsid w:val="00AB23A4"/>
    <w:rsid w:val="00AB3DB2"/>
    <w:rsid w:val="00AB680A"/>
    <w:rsid w:val="00AC03AD"/>
    <w:rsid w:val="00AD746F"/>
    <w:rsid w:val="00AD7F37"/>
    <w:rsid w:val="00AE4DAF"/>
    <w:rsid w:val="00B042A9"/>
    <w:rsid w:val="00B06B47"/>
    <w:rsid w:val="00B073BA"/>
    <w:rsid w:val="00B17C3A"/>
    <w:rsid w:val="00B2276B"/>
    <w:rsid w:val="00B2744F"/>
    <w:rsid w:val="00B33BD7"/>
    <w:rsid w:val="00B35778"/>
    <w:rsid w:val="00B363E9"/>
    <w:rsid w:val="00B37F49"/>
    <w:rsid w:val="00B40214"/>
    <w:rsid w:val="00B47F41"/>
    <w:rsid w:val="00B53096"/>
    <w:rsid w:val="00B56310"/>
    <w:rsid w:val="00B648CA"/>
    <w:rsid w:val="00B75506"/>
    <w:rsid w:val="00B903A3"/>
    <w:rsid w:val="00B95731"/>
    <w:rsid w:val="00BA1A88"/>
    <w:rsid w:val="00BA4C93"/>
    <w:rsid w:val="00BA656D"/>
    <w:rsid w:val="00BB67F0"/>
    <w:rsid w:val="00BC36A1"/>
    <w:rsid w:val="00BC39C8"/>
    <w:rsid w:val="00BC5CB0"/>
    <w:rsid w:val="00BD6B73"/>
    <w:rsid w:val="00BE0219"/>
    <w:rsid w:val="00BE7C98"/>
    <w:rsid w:val="00BF283A"/>
    <w:rsid w:val="00BF4326"/>
    <w:rsid w:val="00C05A10"/>
    <w:rsid w:val="00C10992"/>
    <w:rsid w:val="00C22B5C"/>
    <w:rsid w:val="00C239FE"/>
    <w:rsid w:val="00C262A2"/>
    <w:rsid w:val="00C26ACA"/>
    <w:rsid w:val="00C30EF8"/>
    <w:rsid w:val="00C32A48"/>
    <w:rsid w:val="00C3424E"/>
    <w:rsid w:val="00C439AA"/>
    <w:rsid w:val="00C476FF"/>
    <w:rsid w:val="00C6041C"/>
    <w:rsid w:val="00C65FC3"/>
    <w:rsid w:val="00C74478"/>
    <w:rsid w:val="00C77AD0"/>
    <w:rsid w:val="00C82504"/>
    <w:rsid w:val="00C845A9"/>
    <w:rsid w:val="00C90689"/>
    <w:rsid w:val="00C95E85"/>
    <w:rsid w:val="00CA4E7A"/>
    <w:rsid w:val="00CB3FA9"/>
    <w:rsid w:val="00CB5F37"/>
    <w:rsid w:val="00CC1C6A"/>
    <w:rsid w:val="00CE0634"/>
    <w:rsid w:val="00D04BD5"/>
    <w:rsid w:val="00D05550"/>
    <w:rsid w:val="00D106D6"/>
    <w:rsid w:val="00D17100"/>
    <w:rsid w:val="00D17465"/>
    <w:rsid w:val="00D20A29"/>
    <w:rsid w:val="00D216E8"/>
    <w:rsid w:val="00D31E76"/>
    <w:rsid w:val="00D415B7"/>
    <w:rsid w:val="00D52A44"/>
    <w:rsid w:val="00D54CE3"/>
    <w:rsid w:val="00D6089C"/>
    <w:rsid w:val="00D61879"/>
    <w:rsid w:val="00D6546C"/>
    <w:rsid w:val="00D66609"/>
    <w:rsid w:val="00D67A13"/>
    <w:rsid w:val="00D71C45"/>
    <w:rsid w:val="00D87EE5"/>
    <w:rsid w:val="00D91FA1"/>
    <w:rsid w:val="00D95E59"/>
    <w:rsid w:val="00D970B2"/>
    <w:rsid w:val="00DA281F"/>
    <w:rsid w:val="00DA5540"/>
    <w:rsid w:val="00DB24E2"/>
    <w:rsid w:val="00DB33B0"/>
    <w:rsid w:val="00DB4F78"/>
    <w:rsid w:val="00DB5E1A"/>
    <w:rsid w:val="00DB71A0"/>
    <w:rsid w:val="00DC5306"/>
    <w:rsid w:val="00DD268C"/>
    <w:rsid w:val="00DF18B1"/>
    <w:rsid w:val="00DF3565"/>
    <w:rsid w:val="00DF5A96"/>
    <w:rsid w:val="00E053AC"/>
    <w:rsid w:val="00E10301"/>
    <w:rsid w:val="00E15CBE"/>
    <w:rsid w:val="00E21E7F"/>
    <w:rsid w:val="00E26D99"/>
    <w:rsid w:val="00E320A8"/>
    <w:rsid w:val="00E33342"/>
    <w:rsid w:val="00E36237"/>
    <w:rsid w:val="00E37D83"/>
    <w:rsid w:val="00E42D55"/>
    <w:rsid w:val="00E5014E"/>
    <w:rsid w:val="00E74EEE"/>
    <w:rsid w:val="00E8084A"/>
    <w:rsid w:val="00E85D1B"/>
    <w:rsid w:val="00E870CE"/>
    <w:rsid w:val="00E87EE1"/>
    <w:rsid w:val="00E92C1F"/>
    <w:rsid w:val="00E95D38"/>
    <w:rsid w:val="00EB122D"/>
    <w:rsid w:val="00EB712F"/>
    <w:rsid w:val="00EC4F63"/>
    <w:rsid w:val="00EC5EB7"/>
    <w:rsid w:val="00ED1428"/>
    <w:rsid w:val="00ED5056"/>
    <w:rsid w:val="00ED7B29"/>
    <w:rsid w:val="00EE5388"/>
    <w:rsid w:val="00EE6DAC"/>
    <w:rsid w:val="00EF7260"/>
    <w:rsid w:val="00F03294"/>
    <w:rsid w:val="00F04EA5"/>
    <w:rsid w:val="00F05C1E"/>
    <w:rsid w:val="00F1723F"/>
    <w:rsid w:val="00F21FE9"/>
    <w:rsid w:val="00F23FFA"/>
    <w:rsid w:val="00F268FD"/>
    <w:rsid w:val="00F310CE"/>
    <w:rsid w:val="00F51F02"/>
    <w:rsid w:val="00F52503"/>
    <w:rsid w:val="00F52813"/>
    <w:rsid w:val="00F5472C"/>
    <w:rsid w:val="00F55CA2"/>
    <w:rsid w:val="00F6052B"/>
    <w:rsid w:val="00F611D4"/>
    <w:rsid w:val="00F62982"/>
    <w:rsid w:val="00F6368D"/>
    <w:rsid w:val="00F65C60"/>
    <w:rsid w:val="00F841CB"/>
    <w:rsid w:val="00F948C2"/>
    <w:rsid w:val="00F960F1"/>
    <w:rsid w:val="00FA25C1"/>
    <w:rsid w:val="00FA2C65"/>
    <w:rsid w:val="00FB13FF"/>
    <w:rsid w:val="00FB143E"/>
    <w:rsid w:val="00FB2A37"/>
    <w:rsid w:val="00FB5E23"/>
    <w:rsid w:val="00FC2226"/>
    <w:rsid w:val="00FC4F29"/>
    <w:rsid w:val="00FD457B"/>
    <w:rsid w:val="00FE11C0"/>
    <w:rsid w:val="00FE4709"/>
    <w:rsid w:val="00FE6AA6"/>
    <w:rsid w:val="00FF0706"/>
    <w:rsid w:val="00FF21CA"/>
    <w:rsid w:val="00FF70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42899D"/>
  <w15:docId w15:val="{16A7B205-B446-44EC-8D2C-CA1A8F7D7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EE5"/>
    <w:pPr>
      <w:jc w:val="both"/>
    </w:pPr>
    <w:rPr>
      <w:rFonts w:ascii="Cambria" w:hAnsi="Cambria"/>
      <w:sz w:val="20"/>
    </w:rPr>
  </w:style>
  <w:style w:type="paragraph" w:styleId="Heading1">
    <w:name w:val="heading 1"/>
    <w:aliases w:val="WJS Heading level 1"/>
    <w:basedOn w:val="Normal"/>
    <w:next w:val="Normal"/>
    <w:link w:val="Heading1Char"/>
    <w:autoRedefine/>
    <w:uiPriority w:val="9"/>
    <w:qFormat/>
    <w:rsid w:val="000B4B31"/>
    <w:pPr>
      <w:keepNext/>
      <w:numPr>
        <w:numId w:val="3"/>
      </w:numPr>
      <w:pBdr>
        <w:top w:val="single" w:sz="12" w:space="6" w:color="A6A6A6" w:themeColor="background1" w:themeShade="A6"/>
      </w:pBdr>
      <w:spacing w:after="0"/>
      <w:jc w:val="left"/>
      <w:outlineLvl w:val="0"/>
    </w:pPr>
    <w:rPr>
      <w:rFonts w:ascii="Times New Roman" w:eastAsia="Times New Roman" w:hAnsi="Times New Roman" w:cs="Times New Roman"/>
      <w:b/>
      <w:bCs/>
      <w:color w:val="984806" w:themeColor="accent6" w:themeShade="80"/>
      <w:sz w:val="22"/>
      <w:szCs w:val="20"/>
      <w:lang w:val="en-GB"/>
    </w:rPr>
  </w:style>
  <w:style w:type="paragraph" w:styleId="Heading2">
    <w:name w:val="heading 2"/>
    <w:aliases w:val="WJS Heading level 2"/>
    <w:basedOn w:val="Normal"/>
    <w:next w:val="Normal"/>
    <w:link w:val="Heading2Char"/>
    <w:uiPriority w:val="9"/>
    <w:unhideWhenUsed/>
    <w:qFormat/>
    <w:rsid w:val="00E320A8"/>
    <w:pPr>
      <w:numPr>
        <w:ilvl w:val="1"/>
        <w:numId w:val="3"/>
      </w:numPr>
      <w:spacing w:before="240" w:after="120"/>
      <w:jc w:val="left"/>
      <w:outlineLvl w:val="1"/>
    </w:pPr>
    <w:rPr>
      <w:rFonts w:eastAsia="Times New Roman" w:cs="Times New Roman"/>
      <w:b/>
      <w:bCs/>
      <w:szCs w:val="20"/>
    </w:rPr>
  </w:style>
  <w:style w:type="paragraph" w:styleId="Heading3">
    <w:name w:val="heading 3"/>
    <w:aliases w:val="WJS Heading level 3"/>
    <w:basedOn w:val="Normal"/>
    <w:next w:val="Normal"/>
    <w:link w:val="Heading3Char"/>
    <w:autoRedefine/>
    <w:uiPriority w:val="9"/>
    <w:unhideWhenUsed/>
    <w:qFormat/>
    <w:rsid w:val="00E320A8"/>
    <w:pPr>
      <w:keepNext/>
      <w:keepLines/>
      <w:numPr>
        <w:ilvl w:val="2"/>
        <w:numId w:val="3"/>
      </w:numPr>
      <w:spacing w:before="200" w:after="120"/>
      <w:outlineLvl w:val="2"/>
    </w:pPr>
    <w:rPr>
      <w:rFonts w:eastAsiaTheme="majorEastAsia" w:cstheme="majorBidi"/>
      <w:bCs/>
      <w:i/>
      <w:szCs w:val="20"/>
    </w:rPr>
  </w:style>
  <w:style w:type="paragraph" w:styleId="Heading4">
    <w:name w:val="heading 4"/>
    <w:aliases w:val="WJS Heading level 4"/>
    <w:basedOn w:val="Normal"/>
    <w:next w:val="Normal"/>
    <w:link w:val="Heading4Char"/>
    <w:uiPriority w:val="9"/>
    <w:unhideWhenUsed/>
    <w:qFormat/>
    <w:rsid w:val="00E320A8"/>
    <w:pPr>
      <w:keepNext/>
      <w:keepLines/>
      <w:spacing w:before="240" w:after="120"/>
      <w:jc w:val="left"/>
      <w:outlineLvl w:val="3"/>
    </w:pPr>
    <w:rPr>
      <w:rFonts w:eastAsiaTheme="majorEastAsia" w:cstheme="majorBidi"/>
      <w:bCs/>
      <w:iCs/>
    </w:rPr>
  </w:style>
  <w:style w:type="paragraph" w:styleId="Heading6">
    <w:name w:val="heading 6"/>
    <w:basedOn w:val="Normal"/>
    <w:next w:val="Normal"/>
    <w:link w:val="Heading6Char"/>
    <w:uiPriority w:val="9"/>
    <w:semiHidden/>
    <w:unhideWhenUsed/>
    <w:qFormat/>
    <w:rsid w:val="00301275"/>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5C1"/>
    <w:pPr>
      <w:tabs>
        <w:tab w:val="center" w:pos="4680"/>
        <w:tab w:val="right" w:pos="9360"/>
      </w:tabs>
      <w:spacing w:after="0"/>
      <w:jc w:val="center"/>
    </w:pPr>
    <w:rPr>
      <w:i/>
    </w:rPr>
  </w:style>
  <w:style w:type="character" w:customStyle="1" w:styleId="HeaderChar">
    <w:name w:val="Header Char"/>
    <w:basedOn w:val="DefaultParagraphFont"/>
    <w:link w:val="Header"/>
    <w:uiPriority w:val="99"/>
    <w:rsid w:val="00FA25C1"/>
    <w:rPr>
      <w:rFonts w:ascii="Cambria" w:hAnsi="Cambria"/>
      <w:i/>
      <w:sz w:val="20"/>
    </w:rPr>
  </w:style>
  <w:style w:type="paragraph" w:styleId="Footer">
    <w:name w:val="footer"/>
    <w:basedOn w:val="Normal"/>
    <w:link w:val="FooterChar"/>
    <w:uiPriority w:val="99"/>
    <w:unhideWhenUsed/>
    <w:rsid w:val="005D1B76"/>
    <w:pPr>
      <w:tabs>
        <w:tab w:val="center" w:pos="4680"/>
        <w:tab w:val="right" w:pos="9360"/>
      </w:tabs>
      <w:spacing w:after="0"/>
    </w:pPr>
  </w:style>
  <w:style w:type="character" w:customStyle="1" w:styleId="FooterChar">
    <w:name w:val="Footer Char"/>
    <w:basedOn w:val="DefaultParagraphFont"/>
    <w:link w:val="Footer"/>
    <w:uiPriority w:val="99"/>
    <w:rsid w:val="005D1B76"/>
  </w:style>
  <w:style w:type="paragraph" w:customStyle="1" w:styleId="WJS-a-Articletype">
    <w:name w:val="WJS-a-Article type"/>
    <w:basedOn w:val="Normal"/>
    <w:next w:val="WJS-b-Articletitle"/>
    <w:qFormat/>
    <w:rsid w:val="00316D09"/>
    <w:rPr>
      <w:smallCaps/>
      <w:spacing w:val="20"/>
      <w:sz w:val="22"/>
    </w:rPr>
  </w:style>
  <w:style w:type="paragraph" w:customStyle="1" w:styleId="WJS-b-Articletitle">
    <w:name w:val="WJS-b-Article title"/>
    <w:next w:val="WJS-c-Authorsname"/>
    <w:qFormat/>
    <w:rsid w:val="00316D09"/>
    <w:pPr>
      <w:spacing w:before="240"/>
    </w:pPr>
    <w:rPr>
      <w:rFonts w:ascii="Cambria" w:hAnsi="Cambria"/>
      <w:sz w:val="28"/>
    </w:rPr>
  </w:style>
  <w:style w:type="paragraph" w:customStyle="1" w:styleId="WJS-c-Authorsname">
    <w:name w:val="WJS-c-Authors name"/>
    <w:basedOn w:val="WJS-b-Articletitle"/>
    <w:next w:val="WJS-d-Affiliations"/>
    <w:qFormat/>
    <w:rsid w:val="00513583"/>
    <w:pPr>
      <w:spacing w:before="0"/>
    </w:pPr>
    <w:rPr>
      <w:sz w:val="22"/>
    </w:rPr>
  </w:style>
  <w:style w:type="paragraph" w:customStyle="1" w:styleId="WJS-d-Affiliations">
    <w:name w:val="WJS-d-Affiliations"/>
    <w:basedOn w:val="WJS-c-Authorsname"/>
    <w:qFormat/>
    <w:rsid w:val="00185EBF"/>
    <w:pPr>
      <w:spacing w:after="0" w:line="240" w:lineRule="exact"/>
    </w:pPr>
    <w:rPr>
      <w:i/>
      <w:sz w:val="20"/>
    </w:rPr>
  </w:style>
  <w:style w:type="paragraph" w:customStyle="1" w:styleId="WJS-e-publicationhistory">
    <w:name w:val="WJS-e-publication history"/>
    <w:basedOn w:val="WJS-d-Affiliations"/>
    <w:next w:val="WJS-f-DOIinfo"/>
    <w:qFormat/>
    <w:rsid w:val="00185EBF"/>
    <w:pPr>
      <w:spacing w:before="240" w:after="240"/>
    </w:pPr>
    <w:rPr>
      <w:i w:val="0"/>
    </w:rPr>
  </w:style>
  <w:style w:type="paragraph" w:customStyle="1" w:styleId="WJS-f-DOIinfo">
    <w:name w:val="WJS-f-DOI info"/>
    <w:basedOn w:val="WJS-e-publicationhistory"/>
    <w:next w:val="WJS-h-Abstracttitle"/>
    <w:qFormat/>
    <w:rsid w:val="00FB5E23"/>
    <w:pPr>
      <w:spacing w:before="0" w:line="240" w:lineRule="auto"/>
    </w:pPr>
  </w:style>
  <w:style w:type="paragraph" w:customStyle="1" w:styleId="WJS-l-subheadingsnonumbering">
    <w:name w:val="WJS-l- sub headings no numbering"/>
    <w:basedOn w:val="Normal"/>
    <w:next w:val="Normal"/>
    <w:qFormat/>
    <w:rsid w:val="002226BA"/>
    <w:pPr>
      <w:spacing w:before="240" w:after="120"/>
      <w:jc w:val="left"/>
    </w:pPr>
    <w:rPr>
      <w:i/>
      <w:sz w:val="22"/>
    </w:rPr>
  </w:style>
  <w:style w:type="paragraph" w:customStyle="1" w:styleId="WJS-h-Abstracttitle">
    <w:name w:val="WJS-h-Abstract title"/>
    <w:basedOn w:val="WJS-f-DOIinfo"/>
    <w:next w:val="Normal"/>
    <w:qFormat/>
    <w:rsid w:val="009F72F7"/>
    <w:pPr>
      <w:pBdr>
        <w:top w:val="single" w:sz="12" w:space="5" w:color="A6A6A6" w:themeColor="background1" w:themeShade="A6"/>
      </w:pBdr>
      <w:spacing w:after="120"/>
    </w:pPr>
    <w:rPr>
      <w:b/>
      <w:sz w:val="22"/>
    </w:rPr>
  </w:style>
  <w:style w:type="table" w:styleId="TableGrid">
    <w:name w:val="Table Grid"/>
    <w:basedOn w:val="TableNormal"/>
    <w:uiPriority w:val="39"/>
    <w:rsid w:val="00185EB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JS-j-Keywords">
    <w:name w:val="WJS-j-Keywords"/>
    <w:basedOn w:val="Normal"/>
    <w:qFormat/>
    <w:rsid w:val="005F547F"/>
    <w:rPr>
      <w:b/>
    </w:rPr>
  </w:style>
  <w:style w:type="paragraph" w:customStyle="1" w:styleId="WJS-m-citinginformationheading">
    <w:name w:val="WJS-m-citing information heading"/>
    <w:basedOn w:val="WJS-h-Abstracttitle"/>
    <w:next w:val="WJS-n-citingtext"/>
    <w:autoRedefine/>
    <w:qFormat/>
    <w:rsid w:val="00FA25C1"/>
    <w:pPr>
      <w:pBdr>
        <w:top w:val="single" w:sz="12" w:space="6" w:color="A6A6A6" w:themeColor="background1" w:themeShade="A6"/>
      </w:pBdr>
    </w:pPr>
  </w:style>
  <w:style w:type="character" w:customStyle="1" w:styleId="Heading1Char">
    <w:name w:val="Heading 1 Char"/>
    <w:aliases w:val="WJS Heading level 1 Char"/>
    <w:basedOn w:val="DefaultParagraphFont"/>
    <w:link w:val="Heading1"/>
    <w:uiPriority w:val="9"/>
    <w:rsid w:val="000B4B31"/>
    <w:rPr>
      <w:rFonts w:ascii="Times New Roman" w:eastAsia="Times New Roman" w:hAnsi="Times New Roman" w:cs="Times New Roman"/>
      <w:b/>
      <w:bCs/>
      <w:color w:val="984806" w:themeColor="accent6" w:themeShade="80"/>
      <w:szCs w:val="20"/>
      <w:lang w:val="en-GB"/>
    </w:rPr>
  </w:style>
  <w:style w:type="character" w:customStyle="1" w:styleId="Heading2Char">
    <w:name w:val="Heading 2 Char"/>
    <w:aliases w:val="WJS Heading level 2 Char"/>
    <w:basedOn w:val="DefaultParagraphFont"/>
    <w:link w:val="Heading2"/>
    <w:uiPriority w:val="9"/>
    <w:rsid w:val="00E320A8"/>
    <w:rPr>
      <w:rFonts w:ascii="Cambria" w:eastAsia="Times New Roman" w:hAnsi="Cambria" w:cs="Times New Roman"/>
      <w:b/>
      <w:bCs/>
      <w:sz w:val="20"/>
      <w:szCs w:val="20"/>
    </w:rPr>
  </w:style>
  <w:style w:type="character" w:customStyle="1" w:styleId="Heading3Char">
    <w:name w:val="Heading 3 Char"/>
    <w:aliases w:val="WJS Heading level 3 Char"/>
    <w:basedOn w:val="DefaultParagraphFont"/>
    <w:link w:val="Heading3"/>
    <w:uiPriority w:val="9"/>
    <w:rsid w:val="00E320A8"/>
    <w:rPr>
      <w:rFonts w:ascii="Cambria" w:eastAsiaTheme="majorEastAsia" w:hAnsi="Cambria" w:cstheme="majorBidi"/>
      <w:bCs/>
      <w:i/>
      <w:sz w:val="20"/>
      <w:szCs w:val="20"/>
    </w:rPr>
  </w:style>
  <w:style w:type="paragraph" w:customStyle="1" w:styleId="WJS-n-citingtext">
    <w:name w:val="WJS-n-citing text"/>
    <w:basedOn w:val="WJS-j-Keywords"/>
    <w:autoRedefine/>
    <w:qFormat/>
    <w:rsid w:val="00903B8A"/>
    <w:pPr>
      <w:pBdr>
        <w:bottom w:val="single" w:sz="12" w:space="6" w:color="A6A6A6" w:themeColor="background1" w:themeShade="A6"/>
      </w:pBdr>
      <w:spacing w:before="120" w:after="120"/>
    </w:pPr>
    <w:rPr>
      <w:b w:val="0"/>
    </w:rPr>
  </w:style>
  <w:style w:type="character" w:customStyle="1" w:styleId="Heading4Char">
    <w:name w:val="Heading 4 Char"/>
    <w:aliases w:val="WJS Heading level 4 Char"/>
    <w:basedOn w:val="DefaultParagraphFont"/>
    <w:link w:val="Heading4"/>
    <w:uiPriority w:val="9"/>
    <w:rsid w:val="00E320A8"/>
    <w:rPr>
      <w:rFonts w:ascii="Cambria" w:eastAsiaTheme="majorEastAsia" w:hAnsi="Cambria" w:cstheme="majorBidi"/>
      <w:bCs/>
      <w:iCs/>
      <w:sz w:val="20"/>
    </w:rPr>
  </w:style>
  <w:style w:type="paragraph" w:customStyle="1" w:styleId="WJS-t-References">
    <w:name w:val="WJS-t- References"/>
    <w:basedOn w:val="Normal"/>
    <w:qFormat/>
    <w:rsid w:val="00A251EF"/>
    <w:pPr>
      <w:numPr>
        <w:numId w:val="6"/>
      </w:numPr>
      <w:spacing w:after="120"/>
      <w:ind w:left="576" w:hanging="576"/>
    </w:pPr>
    <w:rPr>
      <w:rFonts w:eastAsia="Times New Roman" w:cs="Times New Roman"/>
      <w:szCs w:val="20"/>
    </w:rPr>
  </w:style>
  <w:style w:type="paragraph" w:customStyle="1" w:styleId="WJS-k-CaptionsFiguresTables">
    <w:name w:val="WJS-k-Captions Figures &amp; Tables"/>
    <w:basedOn w:val="Normal"/>
    <w:qFormat/>
    <w:rsid w:val="00223E06"/>
    <w:pPr>
      <w:keepNext/>
      <w:spacing w:before="120"/>
    </w:pPr>
    <w:rPr>
      <w:rFonts w:eastAsia="Times New Roman" w:cs="Times New Roman"/>
      <w:b/>
      <w:szCs w:val="20"/>
    </w:rPr>
  </w:style>
  <w:style w:type="character" w:styleId="Strong">
    <w:name w:val="Strong"/>
    <w:uiPriority w:val="22"/>
    <w:qFormat/>
    <w:rsid w:val="008A59B2"/>
  </w:style>
  <w:style w:type="paragraph" w:customStyle="1" w:styleId="WJS-o-headerotherpages">
    <w:name w:val="WJS-o-header other pages"/>
    <w:basedOn w:val="Header"/>
    <w:qFormat/>
    <w:rsid w:val="00F5472C"/>
    <w:pPr>
      <w:spacing w:after="120"/>
    </w:pPr>
  </w:style>
  <w:style w:type="paragraph" w:styleId="FootnoteText">
    <w:name w:val="footnote text"/>
    <w:basedOn w:val="Normal"/>
    <w:link w:val="FootnoteTextChar"/>
    <w:uiPriority w:val="99"/>
    <w:semiHidden/>
    <w:unhideWhenUsed/>
    <w:rsid w:val="00F5472C"/>
    <w:pPr>
      <w:spacing w:after="0"/>
    </w:pPr>
    <w:rPr>
      <w:szCs w:val="20"/>
    </w:rPr>
  </w:style>
  <w:style w:type="character" w:customStyle="1" w:styleId="FootnoteTextChar">
    <w:name w:val="Footnote Text Char"/>
    <w:basedOn w:val="DefaultParagraphFont"/>
    <w:link w:val="FootnoteText"/>
    <w:uiPriority w:val="99"/>
    <w:semiHidden/>
    <w:rsid w:val="00F5472C"/>
    <w:rPr>
      <w:rFonts w:ascii="Times New Roman" w:hAnsi="Times New Roman"/>
      <w:sz w:val="20"/>
      <w:szCs w:val="20"/>
    </w:rPr>
  </w:style>
  <w:style w:type="character" w:styleId="FootnoteReference">
    <w:name w:val="footnote reference"/>
    <w:basedOn w:val="DefaultParagraphFont"/>
    <w:semiHidden/>
    <w:unhideWhenUsed/>
    <w:rsid w:val="00F5472C"/>
    <w:rPr>
      <w:vertAlign w:val="superscript"/>
    </w:rPr>
  </w:style>
  <w:style w:type="character" w:styleId="Hyperlink">
    <w:name w:val="Hyperlink"/>
    <w:basedOn w:val="DefaultParagraphFont"/>
    <w:uiPriority w:val="99"/>
    <w:unhideWhenUsed/>
    <w:rsid w:val="00E320A8"/>
    <w:rPr>
      <w:rFonts w:ascii="Cambria" w:hAnsi="Cambria"/>
      <w:color w:val="0000FF" w:themeColor="hyperlink"/>
      <w:u w:val="single"/>
    </w:rPr>
  </w:style>
  <w:style w:type="paragraph" w:customStyle="1" w:styleId="WJS-p-Table">
    <w:name w:val="WJS-p-Table"/>
    <w:basedOn w:val="Normal"/>
    <w:qFormat/>
    <w:rsid w:val="00736D6E"/>
    <w:pPr>
      <w:spacing w:before="60" w:after="60"/>
    </w:pPr>
    <w:rPr>
      <w:lang w:val="en-GB"/>
    </w:rPr>
  </w:style>
  <w:style w:type="paragraph" w:customStyle="1" w:styleId="WJS-s-Footnoteforpage">
    <w:name w:val="WJS-s-Foot note for page"/>
    <w:basedOn w:val="Normal"/>
    <w:qFormat/>
    <w:rsid w:val="0076100D"/>
    <w:pPr>
      <w:pBdr>
        <w:top w:val="single" w:sz="4" w:space="1" w:color="auto"/>
      </w:pBdr>
      <w:spacing w:before="120" w:after="0"/>
      <w:contextualSpacing/>
      <w:jc w:val="left"/>
    </w:pPr>
    <w:rPr>
      <w:rFonts w:eastAsia="SimSun" w:cs="Times New Roman"/>
      <w:noProof/>
      <w:sz w:val="18"/>
      <w:szCs w:val="20"/>
    </w:rPr>
  </w:style>
  <w:style w:type="paragraph" w:styleId="Title">
    <w:name w:val="Title"/>
    <w:aliases w:val="Journal Title"/>
    <w:basedOn w:val="Normal"/>
    <w:next w:val="Normal"/>
    <w:link w:val="TitleChar"/>
    <w:uiPriority w:val="10"/>
    <w:qFormat/>
    <w:rsid w:val="009F72F7"/>
    <w:pPr>
      <w:tabs>
        <w:tab w:val="center" w:pos="4706"/>
        <w:tab w:val="right" w:pos="9356"/>
      </w:tabs>
      <w:spacing w:after="0" w:line="200" w:lineRule="atLeast"/>
      <w:jc w:val="center"/>
    </w:pPr>
    <w:rPr>
      <w:rFonts w:eastAsia="SimSun" w:cstheme="minorHAnsi"/>
      <w:iCs/>
      <w:noProof/>
      <w:sz w:val="36"/>
      <w:szCs w:val="36"/>
      <w:lang w:val="en-IN" w:eastAsia="en-IN"/>
    </w:rPr>
  </w:style>
  <w:style w:type="character" w:customStyle="1" w:styleId="TitleChar">
    <w:name w:val="Title Char"/>
    <w:aliases w:val="Journal Title Char"/>
    <w:basedOn w:val="DefaultParagraphFont"/>
    <w:link w:val="Title"/>
    <w:uiPriority w:val="10"/>
    <w:rsid w:val="009F72F7"/>
    <w:rPr>
      <w:rFonts w:ascii="Cambria" w:eastAsia="SimSun" w:hAnsi="Cambria" w:cstheme="minorHAnsi"/>
      <w:iCs/>
      <w:noProof/>
      <w:sz w:val="36"/>
      <w:szCs w:val="36"/>
      <w:lang w:val="en-IN" w:eastAsia="en-IN"/>
    </w:rPr>
  </w:style>
  <w:style w:type="paragraph" w:customStyle="1" w:styleId="WJS-q-Tablefootnote">
    <w:name w:val="WJS-q-Table footnote"/>
    <w:basedOn w:val="Normal"/>
    <w:qFormat/>
    <w:rsid w:val="00FA25C1"/>
    <w:pPr>
      <w:spacing w:after="0"/>
      <w:jc w:val="center"/>
    </w:pPr>
    <w:rPr>
      <w:sz w:val="16"/>
      <w:lang w:val="en-GB"/>
    </w:rPr>
  </w:style>
  <w:style w:type="paragraph" w:customStyle="1" w:styleId="WJS-l-Headingnonumbering">
    <w:name w:val="WJS-l- Heading no numbering"/>
    <w:basedOn w:val="Heading1"/>
    <w:qFormat/>
    <w:rsid w:val="007B50EF"/>
    <w:pPr>
      <w:numPr>
        <w:numId w:val="0"/>
      </w:numPr>
    </w:pPr>
  </w:style>
  <w:style w:type="paragraph" w:styleId="BalloonText">
    <w:name w:val="Balloon Text"/>
    <w:basedOn w:val="Normal"/>
    <w:link w:val="BalloonTextChar"/>
    <w:uiPriority w:val="99"/>
    <w:semiHidden/>
    <w:unhideWhenUsed/>
    <w:rsid w:val="003574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452"/>
    <w:rPr>
      <w:rFonts w:ascii="Tahoma" w:hAnsi="Tahoma" w:cs="Tahoma"/>
      <w:sz w:val="16"/>
      <w:szCs w:val="16"/>
    </w:rPr>
  </w:style>
  <w:style w:type="paragraph" w:customStyle="1" w:styleId="WJS-k-CaptionFigure">
    <w:name w:val="WJS-k-Caption Figure"/>
    <w:basedOn w:val="WJS-k-CaptionsFiguresTables"/>
    <w:qFormat/>
    <w:rsid w:val="00343F0C"/>
    <w:pPr>
      <w:jc w:val="center"/>
    </w:pPr>
    <w:rPr>
      <w:lang w:val="en-GB"/>
    </w:rPr>
  </w:style>
  <w:style w:type="paragraph" w:customStyle="1" w:styleId="WJS-r-Copyrightinfo">
    <w:name w:val="WJS-r-Copyright info"/>
    <w:basedOn w:val="WJS-q-Tablefootnote"/>
    <w:next w:val="Normal"/>
    <w:qFormat/>
    <w:rsid w:val="009F72F7"/>
    <w:pPr>
      <w:spacing w:before="120"/>
    </w:pPr>
    <w:rPr>
      <w:sz w:val="15"/>
    </w:rPr>
  </w:style>
  <w:style w:type="character" w:styleId="FollowedHyperlink">
    <w:name w:val="FollowedHyperlink"/>
    <w:basedOn w:val="DefaultParagraphFont"/>
    <w:uiPriority w:val="99"/>
    <w:semiHidden/>
    <w:unhideWhenUsed/>
    <w:rsid w:val="00B06B47"/>
    <w:rPr>
      <w:color w:val="800080" w:themeColor="followedHyperlink"/>
      <w:u w:val="single"/>
    </w:rPr>
  </w:style>
  <w:style w:type="paragraph" w:styleId="Bibliography">
    <w:name w:val="Bibliography"/>
    <w:basedOn w:val="Normal"/>
    <w:next w:val="Normal"/>
    <w:uiPriority w:val="37"/>
    <w:semiHidden/>
    <w:unhideWhenUsed/>
    <w:rsid w:val="00682AFB"/>
  </w:style>
  <w:style w:type="character" w:customStyle="1" w:styleId="UnresolvedMention1">
    <w:name w:val="Unresolved Mention1"/>
    <w:basedOn w:val="DefaultParagraphFont"/>
    <w:uiPriority w:val="99"/>
    <w:semiHidden/>
    <w:unhideWhenUsed/>
    <w:rsid w:val="0030322A"/>
    <w:rPr>
      <w:color w:val="605E5C"/>
      <w:shd w:val="clear" w:color="auto" w:fill="E1DFDD"/>
    </w:rPr>
  </w:style>
  <w:style w:type="paragraph" w:styleId="ListParagraph">
    <w:name w:val="List Paragraph"/>
    <w:basedOn w:val="Normal"/>
    <w:uiPriority w:val="34"/>
    <w:qFormat/>
    <w:rsid w:val="00D91FA1"/>
    <w:pPr>
      <w:ind w:left="720"/>
      <w:contextualSpacing/>
    </w:pPr>
  </w:style>
  <w:style w:type="character" w:customStyle="1" w:styleId="Heading6Char">
    <w:name w:val="Heading 6 Char"/>
    <w:basedOn w:val="DefaultParagraphFont"/>
    <w:link w:val="Heading6"/>
    <w:uiPriority w:val="9"/>
    <w:semiHidden/>
    <w:rsid w:val="00301275"/>
    <w:rPr>
      <w:rFonts w:asciiTheme="majorHAnsi" w:eastAsiaTheme="majorEastAsia" w:hAnsiTheme="majorHAnsi" w:cstheme="majorBidi"/>
      <w:color w:val="243F60" w:themeColor="accent1" w:themeShade="7F"/>
      <w:sz w:val="20"/>
    </w:rPr>
  </w:style>
  <w:style w:type="character" w:styleId="UnresolvedMention">
    <w:name w:val="Unresolved Mention"/>
    <w:basedOn w:val="DefaultParagraphFont"/>
    <w:uiPriority w:val="99"/>
    <w:semiHidden/>
    <w:unhideWhenUsed/>
    <w:rsid w:val="00377B02"/>
    <w:rPr>
      <w:color w:val="605E5C"/>
      <w:shd w:val="clear" w:color="auto" w:fill="E1DFDD"/>
    </w:rPr>
  </w:style>
  <w:style w:type="character" w:styleId="CommentReference">
    <w:name w:val="annotation reference"/>
    <w:basedOn w:val="DefaultParagraphFont"/>
    <w:uiPriority w:val="99"/>
    <w:semiHidden/>
    <w:unhideWhenUsed/>
    <w:rsid w:val="00A71616"/>
    <w:rPr>
      <w:sz w:val="16"/>
      <w:szCs w:val="16"/>
    </w:rPr>
  </w:style>
  <w:style w:type="paragraph" w:styleId="CommentText">
    <w:name w:val="annotation text"/>
    <w:basedOn w:val="Normal"/>
    <w:link w:val="CommentTextChar"/>
    <w:uiPriority w:val="99"/>
    <w:unhideWhenUsed/>
    <w:rsid w:val="00A71616"/>
    <w:rPr>
      <w:szCs w:val="20"/>
    </w:rPr>
  </w:style>
  <w:style w:type="character" w:customStyle="1" w:styleId="CommentTextChar">
    <w:name w:val="Comment Text Char"/>
    <w:basedOn w:val="DefaultParagraphFont"/>
    <w:link w:val="CommentText"/>
    <w:uiPriority w:val="99"/>
    <w:rsid w:val="00A71616"/>
    <w:rPr>
      <w:rFonts w:ascii="Cambria" w:hAnsi="Cambria"/>
      <w:sz w:val="20"/>
      <w:szCs w:val="20"/>
    </w:rPr>
  </w:style>
  <w:style w:type="paragraph" w:styleId="CommentSubject">
    <w:name w:val="annotation subject"/>
    <w:basedOn w:val="CommentText"/>
    <w:next w:val="CommentText"/>
    <w:link w:val="CommentSubjectChar"/>
    <w:uiPriority w:val="99"/>
    <w:semiHidden/>
    <w:unhideWhenUsed/>
    <w:rsid w:val="00A71616"/>
    <w:rPr>
      <w:b/>
      <w:bCs/>
    </w:rPr>
  </w:style>
  <w:style w:type="character" w:customStyle="1" w:styleId="CommentSubjectChar">
    <w:name w:val="Comment Subject Char"/>
    <w:basedOn w:val="CommentTextChar"/>
    <w:link w:val="CommentSubject"/>
    <w:uiPriority w:val="99"/>
    <w:semiHidden/>
    <w:rsid w:val="00A71616"/>
    <w:rPr>
      <w:rFonts w:ascii="Cambria" w:hAnsi="Cambria"/>
      <w:b/>
      <w:bCs/>
      <w:sz w:val="20"/>
      <w:szCs w:val="20"/>
    </w:rPr>
  </w:style>
  <w:style w:type="paragraph" w:styleId="NormalWeb">
    <w:name w:val="Normal (Web)"/>
    <w:basedOn w:val="Normal"/>
    <w:uiPriority w:val="99"/>
    <w:semiHidden/>
    <w:unhideWhenUsed/>
    <w:rsid w:val="00510AB0"/>
    <w:pPr>
      <w:spacing w:before="100" w:beforeAutospacing="1" w:after="100" w:afterAutospacing="1"/>
      <w:jc w:val="left"/>
    </w:pPr>
    <w:rPr>
      <w:rFonts w:ascii="Times New Roman" w:eastAsia="Times New Roman" w:hAnsi="Times New Roman" w:cs="Times New Roman"/>
      <w:sz w:val="24"/>
      <w:szCs w:val="24"/>
      <w:lang w:val="en-PH" w:eastAsia="en-PH"/>
    </w:rPr>
  </w:style>
  <w:style w:type="table" w:customStyle="1" w:styleId="TableGrid0">
    <w:name w:val="TableGrid"/>
    <w:rsid w:val="0002171C"/>
    <w:pPr>
      <w:spacing w:after="0"/>
    </w:pPr>
    <w:rPr>
      <w:kern w:val="2"/>
      <w:sz w:val="24"/>
      <w:szCs w:val="24"/>
      <w14:ligatures w14:val="standardContextual"/>
    </w:rPr>
    <w:tblPr>
      <w:tblCellMar>
        <w:top w:w="0" w:type="dxa"/>
        <w:left w:w="0" w:type="dxa"/>
        <w:bottom w:w="0" w:type="dxa"/>
        <w:right w:w="0" w:type="dxa"/>
      </w:tblCellMar>
    </w:tblPr>
  </w:style>
  <w:style w:type="character" w:styleId="Emphasis">
    <w:name w:val="Emphasis"/>
    <w:basedOn w:val="DefaultParagraphFont"/>
    <w:uiPriority w:val="20"/>
    <w:qFormat/>
    <w:rsid w:val="007843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8151">
      <w:bodyDiv w:val="1"/>
      <w:marLeft w:val="0"/>
      <w:marRight w:val="0"/>
      <w:marTop w:val="0"/>
      <w:marBottom w:val="0"/>
      <w:divBdr>
        <w:top w:val="none" w:sz="0" w:space="0" w:color="auto"/>
        <w:left w:val="none" w:sz="0" w:space="0" w:color="auto"/>
        <w:bottom w:val="none" w:sz="0" w:space="0" w:color="auto"/>
        <w:right w:val="none" w:sz="0" w:space="0" w:color="auto"/>
      </w:divBdr>
    </w:div>
    <w:div w:id="29764375">
      <w:bodyDiv w:val="1"/>
      <w:marLeft w:val="0"/>
      <w:marRight w:val="0"/>
      <w:marTop w:val="0"/>
      <w:marBottom w:val="0"/>
      <w:divBdr>
        <w:top w:val="none" w:sz="0" w:space="0" w:color="auto"/>
        <w:left w:val="none" w:sz="0" w:space="0" w:color="auto"/>
        <w:bottom w:val="none" w:sz="0" w:space="0" w:color="auto"/>
        <w:right w:val="none" w:sz="0" w:space="0" w:color="auto"/>
      </w:divBdr>
    </w:div>
    <w:div w:id="120614940">
      <w:bodyDiv w:val="1"/>
      <w:marLeft w:val="0"/>
      <w:marRight w:val="0"/>
      <w:marTop w:val="0"/>
      <w:marBottom w:val="0"/>
      <w:divBdr>
        <w:top w:val="none" w:sz="0" w:space="0" w:color="auto"/>
        <w:left w:val="none" w:sz="0" w:space="0" w:color="auto"/>
        <w:bottom w:val="none" w:sz="0" w:space="0" w:color="auto"/>
        <w:right w:val="none" w:sz="0" w:space="0" w:color="auto"/>
      </w:divBdr>
    </w:div>
    <w:div w:id="151408001">
      <w:bodyDiv w:val="1"/>
      <w:marLeft w:val="0"/>
      <w:marRight w:val="0"/>
      <w:marTop w:val="0"/>
      <w:marBottom w:val="0"/>
      <w:divBdr>
        <w:top w:val="none" w:sz="0" w:space="0" w:color="auto"/>
        <w:left w:val="none" w:sz="0" w:space="0" w:color="auto"/>
        <w:bottom w:val="none" w:sz="0" w:space="0" w:color="auto"/>
        <w:right w:val="none" w:sz="0" w:space="0" w:color="auto"/>
      </w:divBdr>
    </w:div>
    <w:div w:id="200093614">
      <w:bodyDiv w:val="1"/>
      <w:marLeft w:val="0"/>
      <w:marRight w:val="0"/>
      <w:marTop w:val="0"/>
      <w:marBottom w:val="0"/>
      <w:divBdr>
        <w:top w:val="none" w:sz="0" w:space="0" w:color="auto"/>
        <w:left w:val="none" w:sz="0" w:space="0" w:color="auto"/>
        <w:bottom w:val="none" w:sz="0" w:space="0" w:color="auto"/>
        <w:right w:val="none" w:sz="0" w:space="0" w:color="auto"/>
      </w:divBdr>
    </w:div>
    <w:div w:id="215237863">
      <w:bodyDiv w:val="1"/>
      <w:marLeft w:val="0"/>
      <w:marRight w:val="0"/>
      <w:marTop w:val="0"/>
      <w:marBottom w:val="0"/>
      <w:divBdr>
        <w:top w:val="none" w:sz="0" w:space="0" w:color="auto"/>
        <w:left w:val="none" w:sz="0" w:space="0" w:color="auto"/>
        <w:bottom w:val="none" w:sz="0" w:space="0" w:color="auto"/>
        <w:right w:val="none" w:sz="0" w:space="0" w:color="auto"/>
      </w:divBdr>
    </w:div>
    <w:div w:id="235212185">
      <w:bodyDiv w:val="1"/>
      <w:marLeft w:val="0"/>
      <w:marRight w:val="0"/>
      <w:marTop w:val="0"/>
      <w:marBottom w:val="0"/>
      <w:divBdr>
        <w:top w:val="none" w:sz="0" w:space="0" w:color="auto"/>
        <w:left w:val="none" w:sz="0" w:space="0" w:color="auto"/>
        <w:bottom w:val="none" w:sz="0" w:space="0" w:color="auto"/>
        <w:right w:val="none" w:sz="0" w:space="0" w:color="auto"/>
      </w:divBdr>
    </w:div>
    <w:div w:id="288433706">
      <w:bodyDiv w:val="1"/>
      <w:marLeft w:val="0"/>
      <w:marRight w:val="0"/>
      <w:marTop w:val="0"/>
      <w:marBottom w:val="0"/>
      <w:divBdr>
        <w:top w:val="none" w:sz="0" w:space="0" w:color="auto"/>
        <w:left w:val="none" w:sz="0" w:space="0" w:color="auto"/>
        <w:bottom w:val="none" w:sz="0" w:space="0" w:color="auto"/>
        <w:right w:val="none" w:sz="0" w:space="0" w:color="auto"/>
      </w:divBdr>
    </w:div>
    <w:div w:id="414320781">
      <w:bodyDiv w:val="1"/>
      <w:marLeft w:val="0"/>
      <w:marRight w:val="0"/>
      <w:marTop w:val="0"/>
      <w:marBottom w:val="0"/>
      <w:divBdr>
        <w:top w:val="none" w:sz="0" w:space="0" w:color="auto"/>
        <w:left w:val="none" w:sz="0" w:space="0" w:color="auto"/>
        <w:bottom w:val="none" w:sz="0" w:space="0" w:color="auto"/>
        <w:right w:val="none" w:sz="0" w:space="0" w:color="auto"/>
      </w:divBdr>
    </w:div>
    <w:div w:id="484129867">
      <w:bodyDiv w:val="1"/>
      <w:marLeft w:val="0"/>
      <w:marRight w:val="0"/>
      <w:marTop w:val="0"/>
      <w:marBottom w:val="0"/>
      <w:divBdr>
        <w:top w:val="none" w:sz="0" w:space="0" w:color="auto"/>
        <w:left w:val="none" w:sz="0" w:space="0" w:color="auto"/>
        <w:bottom w:val="none" w:sz="0" w:space="0" w:color="auto"/>
        <w:right w:val="none" w:sz="0" w:space="0" w:color="auto"/>
      </w:divBdr>
    </w:div>
    <w:div w:id="497891737">
      <w:bodyDiv w:val="1"/>
      <w:marLeft w:val="0"/>
      <w:marRight w:val="0"/>
      <w:marTop w:val="0"/>
      <w:marBottom w:val="0"/>
      <w:divBdr>
        <w:top w:val="none" w:sz="0" w:space="0" w:color="auto"/>
        <w:left w:val="none" w:sz="0" w:space="0" w:color="auto"/>
        <w:bottom w:val="none" w:sz="0" w:space="0" w:color="auto"/>
        <w:right w:val="none" w:sz="0" w:space="0" w:color="auto"/>
      </w:divBdr>
    </w:div>
    <w:div w:id="512381261">
      <w:bodyDiv w:val="1"/>
      <w:marLeft w:val="0"/>
      <w:marRight w:val="0"/>
      <w:marTop w:val="0"/>
      <w:marBottom w:val="0"/>
      <w:divBdr>
        <w:top w:val="none" w:sz="0" w:space="0" w:color="auto"/>
        <w:left w:val="none" w:sz="0" w:space="0" w:color="auto"/>
        <w:bottom w:val="none" w:sz="0" w:space="0" w:color="auto"/>
        <w:right w:val="none" w:sz="0" w:space="0" w:color="auto"/>
      </w:divBdr>
    </w:div>
    <w:div w:id="520899389">
      <w:bodyDiv w:val="1"/>
      <w:marLeft w:val="0"/>
      <w:marRight w:val="0"/>
      <w:marTop w:val="0"/>
      <w:marBottom w:val="0"/>
      <w:divBdr>
        <w:top w:val="none" w:sz="0" w:space="0" w:color="auto"/>
        <w:left w:val="none" w:sz="0" w:space="0" w:color="auto"/>
        <w:bottom w:val="none" w:sz="0" w:space="0" w:color="auto"/>
        <w:right w:val="none" w:sz="0" w:space="0" w:color="auto"/>
      </w:divBdr>
    </w:div>
    <w:div w:id="554582606">
      <w:bodyDiv w:val="1"/>
      <w:marLeft w:val="0"/>
      <w:marRight w:val="0"/>
      <w:marTop w:val="0"/>
      <w:marBottom w:val="0"/>
      <w:divBdr>
        <w:top w:val="none" w:sz="0" w:space="0" w:color="auto"/>
        <w:left w:val="none" w:sz="0" w:space="0" w:color="auto"/>
        <w:bottom w:val="none" w:sz="0" w:space="0" w:color="auto"/>
        <w:right w:val="none" w:sz="0" w:space="0" w:color="auto"/>
      </w:divBdr>
    </w:div>
    <w:div w:id="589853626">
      <w:bodyDiv w:val="1"/>
      <w:marLeft w:val="0"/>
      <w:marRight w:val="0"/>
      <w:marTop w:val="0"/>
      <w:marBottom w:val="0"/>
      <w:divBdr>
        <w:top w:val="none" w:sz="0" w:space="0" w:color="auto"/>
        <w:left w:val="none" w:sz="0" w:space="0" w:color="auto"/>
        <w:bottom w:val="none" w:sz="0" w:space="0" w:color="auto"/>
        <w:right w:val="none" w:sz="0" w:space="0" w:color="auto"/>
      </w:divBdr>
    </w:div>
    <w:div w:id="662590410">
      <w:bodyDiv w:val="1"/>
      <w:marLeft w:val="0"/>
      <w:marRight w:val="0"/>
      <w:marTop w:val="0"/>
      <w:marBottom w:val="0"/>
      <w:divBdr>
        <w:top w:val="none" w:sz="0" w:space="0" w:color="auto"/>
        <w:left w:val="none" w:sz="0" w:space="0" w:color="auto"/>
        <w:bottom w:val="none" w:sz="0" w:space="0" w:color="auto"/>
        <w:right w:val="none" w:sz="0" w:space="0" w:color="auto"/>
      </w:divBdr>
    </w:div>
    <w:div w:id="723286467">
      <w:bodyDiv w:val="1"/>
      <w:marLeft w:val="0"/>
      <w:marRight w:val="0"/>
      <w:marTop w:val="0"/>
      <w:marBottom w:val="0"/>
      <w:divBdr>
        <w:top w:val="none" w:sz="0" w:space="0" w:color="auto"/>
        <w:left w:val="none" w:sz="0" w:space="0" w:color="auto"/>
        <w:bottom w:val="none" w:sz="0" w:space="0" w:color="auto"/>
        <w:right w:val="none" w:sz="0" w:space="0" w:color="auto"/>
      </w:divBdr>
    </w:div>
    <w:div w:id="813565385">
      <w:bodyDiv w:val="1"/>
      <w:marLeft w:val="0"/>
      <w:marRight w:val="0"/>
      <w:marTop w:val="0"/>
      <w:marBottom w:val="0"/>
      <w:divBdr>
        <w:top w:val="none" w:sz="0" w:space="0" w:color="auto"/>
        <w:left w:val="none" w:sz="0" w:space="0" w:color="auto"/>
        <w:bottom w:val="none" w:sz="0" w:space="0" w:color="auto"/>
        <w:right w:val="none" w:sz="0" w:space="0" w:color="auto"/>
      </w:divBdr>
    </w:div>
    <w:div w:id="960838721">
      <w:bodyDiv w:val="1"/>
      <w:marLeft w:val="0"/>
      <w:marRight w:val="0"/>
      <w:marTop w:val="0"/>
      <w:marBottom w:val="0"/>
      <w:divBdr>
        <w:top w:val="none" w:sz="0" w:space="0" w:color="auto"/>
        <w:left w:val="none" w:sz="0" w:space="0" w:color="auto"/>
        <w:bottom w:val="none" w:sz="0" w:space="0" w:color="auto"/>
        <w:right w:val="none" w:sz="0" w:space="0" w:color="auto"/>
      </w:divBdr>
    </w:div>
    <w:div w:id="965084739">
      <w:bodyDiv w:val="1"/>
      <w:marLeft w:val="0"/>
      <w:marRight w:val="0"/>
      <w:marTop w:val="0"/>
      <w:marBottom w:val="0"/>
      <w:divBdr>
        <w:top w:val="none" w:sz="0" w:space="0" w:color="auto"/>
        <w:left w:val="none" w:sz="0" w:space="0" w:color="auto"/>
        <w:bottom w:val="none" w:sz="0" w:space="0" w:color="auto"/>
        <w:right w:val="none" w:sz="0" w:space="0" w:color="auto"/>
      </w:divBdr>
    </w:div>
    <w:div w:id="993023210">
      <w:bodyDiv w:val="1"/>
      <w:marLeft w:val="0"/>
      <w:marRight w:val="0"/>
      <w:marTop w:val="0"/>
      <w:marBottom w:val="0"/>
      <w:divBdr>
        <w:top w:val="none" w:sz="0" w:space="0" w:color="auto"/>
        <w:left w:val="none" w:sz="0" w:space="0" w:color="auto"/>
        <w:bottom w:val="none" w:sz="0" w:space="0" w:color="auto"/>
        <w:right w:val="none" w:sz="0" w:space="0" w:color="auto"/>
      </w:divBdr>
    </w:div>
    <w:div w:id="1040669400">
      <w:bodyDiv w:val="1"/>
      <w:marLeft w:val="0"/>
      <w:marRight w:val="0"/>
      <w:marTop w:val="0"/>
      <w:marBottom w:val="0"/>
      <w:divBdr>
        <w:top w:val="none" w:sz="0" w:space="0" w:color="auto"/>
        <w:left w:val="none" w:sz="0" w:space="0" w:color="auto"/>
        <w:bottom w:val="none" w:sz="0" w:space="0" w:color="auto"/>
        <w:right w:val="none" w:sz="0" w:space="0" w:color="auto"/>
      </w:divBdr>
    </w:div>
    <w:div w:id="1100218950">
      <w:bodyDiv w:val="1"/>
      <w:marLeft w:val="0"/>
      <w:marRight w:val="0"/>
      <w:marTop w:val="0"/>
      <w:marBottom w:val="0"/>
      <w:divBdr>
        <w:top w:val="none" w:sz="0" w:space="0" w:color="auto"/>
        <w:left w:val="none" w:sz="0" w:space="0" w:color="auto"/>
        <w:bottom w:val="none" w:sz="0" w:space="0" w:color="auto"/>
        <w:right w:val="none" w:sz="0" w:space="0" w:color="auto"/>
      </w:divBdr>
    </w:div>
    <w:div w:id="1120490513">
      <w:bodyDiv w:val="1"/>
      <w:marLeft w:val="0"/>
      <w:marRight w:val="0"/>
      <w:marTop w:val="0"/>
      <w:marBottom w:val="0"/>
      <w:divBdr>
        <w:top w:val="none" w:sz="0" w:space="0" w:color="auto"/>
        <w:left w:val="none" w:sz="0" w:space="0" w:color="auto"/>
        <w:bottom w:val="none" w:sz="0" w:space="0" w:color="auto"/>
        <w:right w:val="none" w:sz="0" w:space="0" w:color="auto"/>
      </w:divBdr>
    </w:div>
    <w:div w:id="1175464467">
      <w:bodyDiv w:val="1"/>
      <w:marLeft w:val="0"/>
      <w:marRight w:val="0"/>
      <w:marTop w:val="0"/>
      <w:marBottom w:val="0"/>
      <w:divBdr>
        <w:top w:val="none" w:sz="0" w:space="0" w:color="auto"/>
        <w:left w:val="none" w:sz="0" w:space="0" w:color="auto"/>
        <w:bottom w:val="none" w:sz="0" w:space="0" w:color="auto"/>
        <w:right w:val="none" w:sz="0" w:space="0" w:color="auto"/>
      </w:divBdr>
    </w:div>
    <w:div w:id="1183975616">
      <w:bodyDiv w:val="1"/>
      <w:marLeft w:val="0"/>
      <w:marRight w:val="0"/>
      <w:marTop w:val="0"/>
      <w:marBottom w:val="0"/>
      <w:divBdr>
        <w:top w:val="none" w:sz="0" w:space="0" w:color="auto"/>
        <w:left w:val="none" w:sz="0" w:space="0" w:color="auto"/>
        <w:bottom w:val="none" w:sz="0" w:space="0" w:color="auto"/>
        <w:right w:val="none" w:sz="0" w:space="0" w:color="auto"/>
      </w:divBdr>
    </w:div>
    <w:div w:id="1228609586">
      <w:bodyDiv w:val="1"/>
      <w:marLeft w:val="0"/>
      <w:marRight w:val="0"/>
      <w:marTop w:val="0"/>
      <w:marBottom w:val="0"/>
      <w:divBdr>
        <w:top w:val="none" w:sz="0" w:space="0" w:color="auto"/>
        <w:left w:val="none" w:sz="0" w:space="0" w:color="auto"/>
        <w:bottom w:val="none" w:sz="0" w:space="0" w:color="auto"/>
        <w:right w:val="none" w:sz="0" w:space="0" w:color="auto"/>
      </w:divBdr>
    </w:div>
    <w:div w:id="1248613870">
      <w:bodyDiv w:val="1"/>
      <w:marLeft w:val="0"/>
      <w:marRight w:val="0"/>
      <w:marTop w:val="0"/>
      <w:marBottom w:val="0"/>
      <w:divBdr>
        <w:top w:val="none" w:sz="0" w:space="0" w:color="auto"/>
        <w:left w:val="none" w:sz="0" w:space="0" w:color="auto"/>
        <w:bottom w:val="none" w:sz="0" w:space="0" w:color="auto"/>
        <w:right w:val="none" w:sz="0" w:space="0" w:color="auto"/>
      </w:divBdr>
    </w:div>
    <w:div w:id="1257521584">
      <w:bodyDiv w:val="1"/>
      <w:marLeft w:val="0"/>
      <w:marRight w:val="0"/>
      <w:marTop w:val="0"/>
      <w:marBottom w:val="0"/>
      <w:divBdr>
        <w:top w:val="none" w:sz="0" w:space="0" w:color="auto"/>
        <w:left w:val="none" w:sz="0" w:space="0" w:color="auto"/>
        <w:bottom w:val="none" w:sz="0" w:space="0" w:color="auto"/>
        <w:right w:val="none" w:sz="0" w:space="0" w:color="auto"/>
      </w:divBdr>
    </w:div>
    <w:div w:id="1331980385">
      <w:bodyDiv w:val="1"/>
      <w:marLeft w:val="0"/>
      <w:marRight w:val="0"/>
      <w:marTop w:val="0"/>
      <w:marBottom w:val="0"/>
      <w:divBdr>
        <w:top w:val="none" w:sz="0" w:space="0" w:color="auto"/>
        <w:left w:val="none" w:sz="0" w:space="0" w:color="auto"/>
        <w:bottom w:val="none" w:sz="0" w:space="0" w:color="auto"/>
        <w:right w:val="none" w:sz="0" w:space="0" w:color="auto"/>
      </w:divBdr>
    </w:div>
    <w:div w:id="1352604203">
      <w:bodyDiv w:val="1"/>
      <w:marLeft w:val="0"/>
      <w:marRight w:val="0"/>
      <w:marTop w:val="0"/>
      <w:marBottom w:val="0"/>
      <w:divBdr>
        <w:top w:val="none" w:sz="0" w:space="0" w:color="auto"/>
        <w:left w:val="none" w:sz="0" w:space="0" w:color="auto"/>
        <w:bottom w:val="none" w:sz="0" w:space="0" w:color="auto"/>
        <w:right w:val="none" w:sz="0" w:space="0" w:color="auto"/>
      </w:divBdr>
    </w:div>
    <w:div w:id="1386218525">
      <w:bodyDiv w:val="1"/>
      <w:marLeft w:val="0"/>
      <w:marRight w:val="0"/>
      <w:marTop w:val="0"/>
      <w:marBottom w:val="0"/>
      <w:divBdr>
        <w:top w:val="none" w:sz="0" w:space="0" w:color="auto"/>
        <w:left w:val="none" w:sz="0" w:space="0" w:color="auto"/>
        <w:bottom w:val="none" w:sz="0" w:space="0" w:color="auto"/>
        <w:right w:val="none" w:sz="0" w:space="0" w:color="auto"/>
      </w:divBdr>
    </w:div>
    <w:div w:id="1405839212">
      <w:bodyDiv w:val="1"/>
      <w:marLeft w:val="0"/>
      <w:marRight w:val="0"/>
      <w:marTop w:val="0"/>
      <w:marBottom w:val="0"/>
      <w:divBdr>
        <w:top w:val="none" w:sz="0" w:space="0" w:color="auto"/>
        <w:left w:val="none" w:sz="0" w:space="0" w:color="auto"/>
        <w:bottom w:val="none" w:sz="0" w:space="0" w:color="auto"/>
        <w:right w:val="none" w:sz="0" w:space="0" w:color="auto"/>
      </w:divBdr>
    </w:div>
    <w:div w:id="1477644087">
      <w:bodyDiv w:val="1"/>
      <w:marLeft w:val="0"/>
      <w:marRight w:val="0"/>
      <w:marTop w:val="0"/>
      <w:marBottom w:val="0"/>
      <w:divBdr>
        <w:top w:val="none" w:sz="0" w:space="0" w:color="auto"/>
        <w:left w:val="none" w:sz="0" w:space="0" w:color="auto"/>
        <w:bottom w:val="none" w:sz="0" w:space="0" w:color="auto"/>
        <w:right w:val="none" w:sz="0" w:space="0" w:color="auto"/>
      </w:divBdr>
    </w:div>
    <w:div w:id="1604147324">
      <w:bodyDiv w:val="1"/>
      <w:marLeft w:val="0"/>
      <w:marRight w:val="0"/>
      <w:marTop w:val="0"/>
      <w:marBottom w:val="0"/>
      <w:divBdr>
        <w:top w:val="none" w:sz="0" w:space="0" w:color="auto"/>
        <w:left w:val="none" w:sz="0" w:space="0" w:color="auto"/>
        <w:bottom w:val="none" w:sz="0" w:space="0" w:color="auto"/>
        <w:right w:val="none" w:sz="0" w:space="0" w:color="auto"/>
      </w:divBdr>
    </w:div>
    <w:div w:id="1613902243">
      <w:bodyDiv w:val="1"/>
      <w:marLeft w:val="0"/>
      <w:marRight w:val="0"/>
      <w:marTop w:val="0"/>
      <w:marBottom w:val="0"/>
      <w:divBdr>
        <w:top w:val="none" w:sz="0" w:space="0" w:color="auto"/>
        <w:left w:val="none" w:sz="0" w:space="0" w:color="auto"/>
        <w:bottom w:val="none" w:sz="0" w:space="0" w:color="auto"/>
        <w:right w:val="none" w:sz="0" w:space="0" w:color="auto"/>
      </w:divBdr>
    </w:div>
    <w:div w:id="1617711904">
      <w:bodyDiv w:val="1"/>
      <w:marLeft w:val="0"/>
      <w:marRight w:val="0"/>
      <w:marTop w:val="0"/>
      <w:marBottom w:val="0"/>
      <w:divBdr>
        <w:top w:val="none" w:sz="0" w:space="0" w:color="auto"/>
        <w:left w:val="none" w:sz="0" w:space="0" w:color="auto"/>
        <w:bottom w:val="none" w:sz="0" w:space="0" w:color="auto"/>
        <w:right w:val="none" w:sz="0" w:space="0" w:color="auto"/>
      </w:divBdr>
    </w:div>
    <w:div w:id="1780297870">
      <w:bodyDiv w:val="1"/>
      <w:marLeft w:val="0"/>
      <w:marRight w:val="0"/>
      <w:marTop w:val="0"/>
      <w:marBottom w:val="0"/>
      <w:divBdr>
        <w:top w:val="none" w:sz="0" w:space="0" w:color="auto"/>
        <w:left w:val="none" w:sz="0" w:space="0" w:color="auto"/>
        <w:bottom w:val="none" w:sz="0" w:space="0" w:color="auto"/>
        <w:right w:val="none" w:sz="0" w:space="0" w:color="auto"/>
      </w:divBdr>
    </w:div>
    <w:div w:id="1802962075">
      <w:bodyDiv w:val="1"/>
      <w:marLeft w:val="0"/>
      <w:marRight w:val="0"/>
      <w:marTop w:val="0"/>
      <w:marBottom w:val="0"/>
      <w:divBdr>
        <w:top w:val="none" w:sz="0" w:space="0" w:color="auto"/>
        <w:left w:val="none" w:sz="0" w:space="0" w:color="auto"/>
        <w:bottom w:val="none" w:sz="0" w:space="0" w:color="auto"/>
        <w:right w:val="none" w:sz="0" w:space="0" w:color="auto"/>
      </w:divBdr>
    </w:div>
    <w:div w:id="1825775783">
      <w:bodyDiv w:val="1"/>
      <w:marLeft w:val="0"/>
      <w:marRight w:val="0"/>
      <w:marTop w:val="0"/>
      <w:marBottom w:val="0"/>
      <w:divBdr>
        <w:top w:val="none" w:sz="0" w:space="0" w:color="auto"/>
        <w:left w:val="none" w:sz="0" w:space="0" w:color="auto"/>
        <w:bottom w:val="none" w:sz="0" w:space="0" w:color="auto"/>
        <w:right w:val="none" w:sz="0" w:space="0" w:color="auto"/>
      </w:divBdr>
    </w:div>
    <w:div w:id="1835681091">
      <w:bodyDiv w:val="1"/>
      <w:marLeft w:val="0"/>
      <w:marRight w:val="0"/>
      <w:marTop w:val="0"/>
      <w:marBottom w:val="0"/>
      <w:divBdr>
        <w:top w:val="none" w:sz="0" w:space="0" w:color="auto"/>
        <w:left w:val="none" w:sz="0" w:space="0" w:color="auto"/>
        <w:bottom w:val="none" w:sz="0" w:space="0" w:color="auto"/>
        <w:right w:val="none" w:sz="0" w:space="0" w:color="auto"/>
      </w:divBdr>
    </w:div>
    <w:div w:id="1850944704">
      <w:bodyDiv w:val="1"/>
      <w:marLeft w:val="0"/>
      <w:marRight w:val="0"/>
      <w:marTop w:val="0"/>
      <w:marBottom w:val="0"/>
      <w:divBdr>
        <w:top w:val="none" w:sz="0" w:space="0" w:color="auto"/>
        <w:left w:val="none" w:sz="0" w:space="0" w:color="auto"/>
        <w:bottom w:val="none" w:sz="0" w:space="0" w:color="auto"/>
        <w:right w:val="none" w:sz="0" w:space="0" w:color="auto"/>
      </w:divBdr>
    </w:div>
    <w:div w:id="1860965179">
      <w:bodyDiv w:val="1"/>
      <w:marLeft w:val="0"/>
      <w:marRight w:val="0"/>
      <w:marTop w:val="0"/>
      <w:marBottom w:val="0"/>
      <w:divBdr>
        <w:top w:val="none" w:sz="0" w:space="0" w:color="auto"/>
        <w:left w:val="none" w:sz="0" w:space="0" w:color="auto"/>
        <w:bottom w:val="none" w:sz="0" w:space="0" w:color="auto"/>
        <w:right w:val="none" w:sz="0" w:space="0" w:color="auto"/>
      </w:divBdr>
    </w:div>
    <w:div w:id="1920476848">
      <w:bodyDiv w:val="1"/>
      <w:marLeft w:val="0"/>
      <w:marRight w:val="0"/>
      <w:marTop w:val="0"/>
      <w:marBottom w:val="0"/>
      <w:divBdr>
        <w:top w:val="none" w:sz="0" w:space="0" w:color="auto"/>
        <w:left w:val="none" w:sz="0" w:space="0" w:color="auto"/>
        <w:bottom w:val="none" w:sz="0" w:space="0" w:color="auto"/>
        <w:right w:val="none" w:sz="0" w:space="0" w:color="auto"/>
      </w:divBdr>
    </w:div>
    <w:div w:id="1990623122">
      <w:bodyDiv w:val="1"/>
      <w:marLeft w:val="0"/>
      <w:marRight w:val="0"/>
      <w:marTop w:val="0"/>
      <w:marBottom w:val="0"/>
      <w:divBdr>
        <w:top w:val="none" w:sz="0" w:space="0" w:color="auto"/>
        <w:left w:val="none" w:sz="0" w:space="0" w:color="auto"/>
        <w:bottom w:val="none" w:sz="0" w:space="0" w:color="auto"/>
        <w:right w:val="none" w:sz="0" w:space="0" w:color="auto"/>
      </w:divBdr>
    </w:div>
    <w:div w:id="199421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abor@hnu.edu.ph" TargetMode="External"/><Relationship Id="rId13" Type="http://schemas.openxmlformats.org/officeDocument/2006/relationships/hyperlink" Target="https://doi.org/10.2307/4149959" TargetMode="External"/><Relationship Id="rId18" Type="http://schemas.openxmlformats.org/officeDocument/2006/relationships/hyperlink" Target="https://doi.org/10.1080/10986065.2024.2314067"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pblworks.org" TargetMode="External"/><Relationship Id="rId7" Type="http://schemas.openxmlformats.org/officeDocument/2006/relationships/endnotes" Target="endnotes.xml"/><Relationship Id="rId12" Type="http://schemas.openxmlformats.org/officeDocument/2006/relationships/hyperlink" Target="https://doi.org/10.5539/elt.v12n4p73" TargetMode="External"/><Relationship Id="rId17" Type="http://schemas.openxmlformats.org/officeDocument/2006/relationships/hyperlink" Target="https://doi.org/10.1016/j.lindif.2016.08.001"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1088/1742-6596/1657/1/012032" TargetMode="External"/><Relationship Id="rId20" Type="http://schemas.openxmlformats.org/officeDocument/2006/relationships/hyperlink" Target="https://www.pblworks.org/blog/gold-standard-pbl-essential-project-design-ele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6941/jesr-2022-0006"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7176/JEP/10-3-14"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doi.org/10.46328/ijres.2666" TargetMode="External"/><Relationship Id="rId19" Type="http://schemas.openxmlformats.org/officeDocument/2006/relationships/hyperlink" Target="https://doi.org/10.48550/arXiv.2210.15979" TargetMode="External"/><Relationship Id="rId4" Type="http://schemas.openxmlformats.org/officeDocument/2006/relationships/settings" Target="settings.xml"/><Relationship Id="rId9" Type="http://schemas.openxmlformats.org/officeDocument/2006/relationships/hyperlink" Target="https://doi.org/10.1177/2158244020938702" TargetMode="External"/><Relationship Id="rId14" Type="http://schemas.openxmlformats.org/officeDocument/2006/relationships/hyperlink" Target="https://tinyurl.com/558mum7c" TargetMode="External"/><Relationship Id="rId22" Type="http://schemas.openxmlformats.org/officeDocument/2006/relationships/header" Target="header1.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ijsair.com/"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doi.org/10.65339/ijsair.V2.I1.33" TargetMode="External"/><Relationship Id="rId2" Type="http://schemas.openxmlformats.org/officeDocument/2006/relationships/hyperlink" Target="https://doi.org/10.65339/ijsair.V2.I1.33"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5ang\Downloads\2.%20WJARR%20manuscrip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51A2F-F5A8-4589-93AA-43973A676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 WJARR manuscript template.dotx</Template>
  <TotalTime>121</TotalTime>
  <Pages>7</Pages>
  <Words>4873</Words>
  <Characters>31335</Characters>
  <Application>Microsoft Office Word</Application>
  <DocSecurity>0</DocSecurity>
  <Lines>386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Angelo Santos</cp:lastModifiedBy>
  <cp:revision>3</cp:revision>
  <cp:lastPrinted>2026-01-17T03:14:00Z</cp:lastPrinted>
  <dcterms:created xsi:type="dcterms:W3CDTF">2026-01-17T09:54:00Z</dcterms:created>
  <dcterms:modified xsi:type="dcterms:W3CDTF">2026-02-08T07:00:00Z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6295e325-4d00-4019-9ab3-d218c71bca3f</vt:lpwstr>
  </property>
</Properties>
</file>